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56C2" w14:textId="01F9E612" w:rsidR="002377DB" w:rsidRDefault="002377DB" w:rsidP="002377DB">
      <w:pPr>
        <w:jc w:val="center"/>
        <w:rPr>
          <w:rFonts w:ascii="Segoe UI" w:hAnsi="Segoe UI" w:cs="Segoe UI"/>
          <w:b/>
          <w:bCs/>
          <w:sz w:val="32"/>
          <w:u w:val="single"/>
        </w:rPr>
      </w:pPr>
    </w:p>
    <w:p w14:paraId="6AFBF596" w14:textId="52BDCEF5" w:rsidR="002377DB" w:rsidRDefault="002377DB" w:rsidP="002377DB">
      <w:pPr>
        <w:jc w:val="center"/>
        <w:rPr>
          <w:rFonts w:ascii="Segoe UI" w:hAnsi="Segoe UI" w:cs="Segoe UI"/>
          <w:b/>
          <w:bCs/>
          <w:sz w:val="32"/>
          <w:u w:val="single"/>
        </w:rPr>
      </w:pPr>
    </w:p>
    <w:p w14:paraId="56B96B1D" w14:textId="7D5F4FF9" w:rsidR="002377DB" w:rsidRDefault="002377DB" w:rsidP="002377DB">
      <w:pPr>
        <w:jc w:val="center"/>
        <w:rPr>
          <w:rFonts w:ascii="Segoe UI" w:hAnsi="Segoe UI" w:cs="Segoe UI"/>
          <w:b/>
          <w:bCs/>
          <w:sz w:val="32"/>
          <w:u w:val="single"/>
        </w:rPr>
      </w:pPr>
    </w:p>
    <w:p w14:paraId="4C8BEE61" w14:textId="2F44E0DF" w:rsidR="00A52DC7" w:rsidRDefault="00A52DC7" w:rsidP="002377DB">
      <w:pPr>
        <w:jc w:val="center"/>
        <w:rPr>
          <w:rFonts w:ascii="Segoe UI" w:hAnsi="Segoe UI" w:cs="Segoe UI"/>
          <w:b/>
          <w:bCs/>
          <w:sz w:val="32"/>
          <w:u w:val="single"/>
        </w:rPr>
      </w:pPr>
    </w:p>
    <w:p w14:paraId="0073987E" w14:textId="6DADC634" w:rsidR="00A52DC7" w:rsidRDefault="00A52DC7" w:rsidP="002377DB">
      <w:pPr>
        <w:jc w:val="center"/>
        <w:rPr>
          <w:rFonts w:ascii="Segoe UI" w:hAnsi="Segoe UI" w:cs="Segoe UI"/>
          <w:b/>
          <w:bCs/>
          <w:sz w:val="32"/>
          <w:u w:val="single"/>
        </w:rPr>
      </w:pPr>
    </w:p>
    <w:p w14:paraId="3E99AE14" w14:textId="28B81DF1" w:rsidR="00A52DC7" w:rsidRDefault="00A52DC7" w:rsidP="002377DB">
      <w:pPr>
        <w:jc w:val="center"/>
        <w:rPr>
          <w:rFonts w:ascii="Segoe UI" w:hAnsi="Segoe UI" w:cs="Segoe UI"/>
          <w:b/>
          <w:bCs/>
          <w:sz w:val="32"/>
          <w:u w:val="single"/>
        </w:rPr>
      </w:pPr>
    </w:p>
    <w:p w14:paraId="3A6176E0" w14:textId="77777777" w:rsidR="00A52DC7" w:rsidRDefault="00A52DC7" w:rsidP="002377DB">
      <w:pPr>
        <w:jc w:val="center"/>
        <w:rPr>
          <w:rFonts w:ascii="Segoe UI" w:hAnsi="Segoe UI" w:cs="Segoe UI"/>
          <w:b/>
          <w:bCs/>
          <w:sz w:val="32"/>
          <w:u w:val="single"/>
        </w:rPr>
      </w:pPr>
    </w:p>
    <w:p w14:paraId="67B756F2" w14:textId="77777777" w:rsidR="002377DB" w:rsidRDefault="002377DB" w:rsidP="002377DB">
      <w:pPr>
        <w:jc w:val="center"/>
        <w:rPr>
          <w:rFonts w:ascii="Segoe UI" w:hAnsi="Segoe UI" w:cs="Segoe UI"/>
          <w:b/>
          <w:bCs/>
          <w:sz w:val="32"/>
          <w:u w:val="single"/>
        </w:rPr>
      </w:pPr>
    </w:p>
    <w:p w14:paraId="5EE7AE0B" w14:textId="655E9E28" w:rsidR="002377DB" w:rsidRPr="004057D6" w:rsidRDefault="002377DB" w:rsidP="002377DB">
      <w:pPr>
        <w:jc w:val="center"/>
        <w:rPr>
          <w:rFonts w:ascii="Segoe UI" w:hAnsi="Segoe UI" w:cs="Segoe UI"/>
          <w:b/>
          <w:bCs/>
          <w:sz w:val="32"/>
          <w:u w:val="single"/>
        </w:rPr>
      </w:pPr>
      <w:r w:rsidRPr="004057D6">
        <w:rPr>
          <w:rFonts w:ascii="Segoe UI" w:hAnsi="Segoe UI" w:cs="Segoe UI"/>
          <w:b/>
          <w:bCs/>
          <w:sz w:val="32"/>
          <w:u w:val="single"/>
        </w:rPr>
        <w:t>INTERREG VI-Programm</w:t>
      </w:r>
    </w:p>
    <w:p w14:paraId="790CCDA9" w14:textId="77777777" w:rsidR="002377DB" w:rsidRPr="004057D6" w:rsidRDefault="002377DB" w:rsidP="002377DB">
      <w:pPr>
        <w:jc w:val="center"/>
        <w:rPr>
          <w:rFonts w:ascii="Segoe UI" w:hAnsi="Segoe UI" w:cs="Segoe UI"/>
          <w:b/>
          <w:bCs/>
          <w:sz w:val="32"/>
          <w:u w:val="single"/>
        </w:rPr>
      </w:pPr>
      <w:r w:rsidRPr="004057D6">
        <w:rPr>
          <w:rFonts w:ascii="Segoe UI" w:hAnsi="Segoe UI" w:cs="Segoe UI"/>
          <w:b/>
          <w:bCs/>
          <w:sz w:val="32"/>
          <w:u w:val="single"/>
        </w:rPr>
        <w:t>“Alpenrhein-Bodensee-Hochrhein“</w:t>
      </w:r>
    </w:p>
    <w:p w14:paraId="7B3ABB49" w14:textId="77777777" w:rsidR="002377DB" w:rsidRPr="004057D6" w:rsidRDefault="002377DB" w:rsidP="002377DB">
      <w:pPr>
        <w:jc w:val="center"/>
        <w:rPr>
          <w:rFonts w:ascii="Segoe UI" w:hAnsi="Segoe UI" w:cs="Segoe UI"/>
          <w:b/>
          <w:bCs/>
          <w:sz w:val="32"/>
          <w:u w:val="single"/>
        </w:rPr>
      </w:pPr>
    </w:p>
    <w:p w14:paraId="172FD922" w14:textId="77777777" w:rsidR="002377DB" w:rsidRPr="004057D6" w:rsidRDefault="002377DB" w:rsidP="002377DB">
      <w:pPr>
        <w:jc w:val="center"/>
        <w:rPr>
          <w:rFonts w:ascii="Segoe UI" w:hAnsi="Segoe UI" w:cs="Segoe UI"/>
          <w:b/>
          <w:bCs/>
          <w:sz w:val="32"/>
          <w:u w:val="single"/>
        </w:rPr>
      </w:pPr>
    </w:p>
    <w:p w14:paraId="21A99956" w14:textId="77777777" w:rsidR="002377DB" w:rsidRPr="004057D6" w:rsidRDefault="002377DB" w:rsidP="002377DB">
      <w:pPr>
        <w:jc w:val="center"/>
        <w:rPr>
          <w:rFonts w:ascii="Segoe UI" w:hAnsi="Segoe UI" w:cs="Segoe UI"/>
          <w:b/>
          <w:bCs/>
          <w:sz w:val="32"/>
          <w:u w:val="single"/>
        </w:rPr>
      </w:pPr>
      <w:r w:rsidRPr="004057D6">
        <w:rPr>
          <w:rFonts w:ascii="Segoe UI" w:hAnsi="Segoe UI" w:cs="Segoe UI"/>
          <w:b/>
          <w:bCs/>
          <w:sz w:val="32"/>
          <w:u w:val="single"/>
        </w:rPr>
        <w:t>ENTWURF</w:t>
      </w:r>
    </w:p>
    <w:p w14:paraId="026C43A0" w14:textId="77777777" w:rsidR="002377DB" w:rsidRPr="004057D6" w:rsidRDefault="002377DB" w:rsidP="002377DB">
      <w:pPr>
        <w:jc w:val="center"/>
        <w:rPr>
          <w:rFonts w:ascii="Segoe UI" w:hAnsi="Segoe UI" w:cs="Segoe UI"/>
          <w:b/>
          <w:bCs/>
          <w:sz w:val="32"/>
          <w:u w:val="single"/>
        </w:rPr>
      </w:pPr>
    </w:p>
    <w:p w14:paraId="0E6AFA44" w14:textId="77777777" w:rsidR="002377DB" w:rsidRPr="004057D6" w:rsidRDefault="002377DB" w:rsidP="002377DB">
      <w:pPr>
        <w:jc w:val="center"/>
        <w:rPr>
          <w:rFonts w:ascii="Segoe UI" w:hAnsi="Segoe UI" w:cs="Segoe UI"/>
          <w:b/>
          <w:bCs/>
          <w:sz w:val="32"/>
          <w:u w:val="single"/>
        </w:rPr>
      </w:pPr>
      <w:r w:rsidRPr="004057D6">
        <w:rPr>
          <w:rFonts w:ascii="Segoe UI" w:hAnsi="Segoe UI" w:cs="Segoe UI"/>
          <w:b/>
          <w:bCs/>
          <w:sz w:val="32"/>
          <w:u w:val="single"/>
        </w:rPr>
        <w:t>Geschäftsordnung</w:t>
      </w:r>
    </w:p>
    <w:p w14:paraId="390FAB78" w14:textId="6FEC7622" w:rsidR="002377DB" w:rsidRPr="004057D6" w:rsidRDefault="002377DB" w:rsidP="002377DB">
      <w:pPr>
        <w:jc w:val="center"/>
        <w:rPr>
          <w:rFonts w:ascii="Segoe UI" w:hAnsi="Segoe UI" w:cs="Segoe UI"/>
          <w:b/>
          <w:bCs/>
          <w:sz w:val="32"/>
          <w:u w:val="single"/>
        </w:rPr>
      </w:pPr>
      <w:r w:rsidRPr="004057D6">
        <w:rPr>
          <w:rFonts w:ascii="Segoe UI" w:hAnsi="Segoe UI" w:cs="Segoe UI"/>
          <w:b/>
          <w:bCs/>
          <w:sz w:val="32"/>
          <w:u w:val="single"/>
        </w:rPr>
        <w:t xml:space="preserve">des </w:t>
      </w:r>
      <w:r w:rsidR="00896A7C" w:rsidRPr="004057D6">
        <w:rPr>
          <w:rFonts w:ascii="Segoe UI" w:hAnsi="Segoe UI" w:cs="Segoe UI"/>
          <w:b/>
          <w:bCs/>
          <w:sz w:val="32"/>
          <w:u w:val="single"/>
        </w:rPr>
        <w:t>Lenkungsausschusses</w:t>
      </w:r>
    </w:p>
    <w:p w14:paraId="2931DDE2" w14:textId="77777777" w:rsidR="002377DB" w:rsidRPr="004057D6" w:rsidRDefault="002377DB" w:rsidP="002377DB">
      <w:pPr>
        <w:jc w:val="center"/>
        <w:rPr>
          <w:rFonts w:ascii="Segoe UI" w:hAnsi="Segoe UI" w:cs="Segoe UI"/>
          <w:b/>
          <w:bCs/>
          <w:sz w:val="32"/>
          <w:u w:val="single"/>
        </w:rPr>
      </w:pPr>
    </w:p>
    <w:p w14:paraId="7919DEEC" w14:textId="77777777" w:rsidR="002377DB" w:rsidRPr="004057D6" w:rsidRDefault="002377DB" w:rsidP="002377DB">
      <w:pPr>
        <w:jc w:val="center"/>
        <w:rPr>
          <w:rFonts w:ascii="Segoe UI" w:hAnsi="Segoe UI" w:cs="Segoe UI"/>
          <w:b/>
          <w:bCs/>
          <w:sz w:val="32"/>
          <w:u w:val="single"/>
        </w:rPr>
      </w:pPr>
    </w:p>
    <w:p w14:paraId="7089E9EF" w14:textId="77777777" w:rsidR="002377DB" w:rsidRPr="004057D6" w:rsidRDefault="002377DB" w:rsidP="002377DB">
      <w:pPr>
        <w:jc w:val="center"/>
        <w:rPr>
          <w:rFonts w:ascii="Segoe UI" w:hAnsi="Segoe UI" w:cs="Segoe UI"/>
          <w:b/>
          <w:bCs/>
          <w:szCs w:val="24"/>
          <w:u w:val="single"/>
        </w:rPr>
      </w:pPr>
    </w:p>
    <w:p w14:paraId="75E06CBC" w14:textId="68FC7A5A" w:rsidR="002377DB" w:rsidRPr="004057D6" w:rsidRDefault="00FF2679" w:rsidP="002377DB">
      <w:pPr>
        <w:jc w:val="center"/>
        <w:rPr>
          <w:rFonts w:ascii="Segoe UI" w:hAnsi="Segoe UI" w:cs="Segoe UI"/>
          <w:b/>
          <w:bCs/>
          <w:szCs w:val="24"/>
        </w:rPr>
      </w:pPr>
      <w:r>
        <w:rPr>
          <w:rFonts w:ascii="Segoe UI" w:hAnsi="Segoe UI" w:cs="Segoe UI"/>
          <w:b/>
          <w:bCs/>
          <w:szCs w:val="24"/>
        </w:rPr>
        <w:t>1. Fassung vom XX.XX.2022</w:t>
      </w:r>
    </w:p>
    <w:p w14:paraId="638F2078" w14:textId="1971B1A4" w:rsidR="004B5984" w:rsidRPr="004057D6" w:rsidRDefault="004B5984" w:rsidP="004B5984">
      <w:pPr>
        <w:jc w:val="center"/>
        <w:rPr>
          <w:b/>
          <w:bCs/>
          <w:szCs w:val="24"/>
        </w:rPr>
      </w:pPr>
    </w:p>
    <w:p w14:paraId="39B88DE9" w14:textId="6EF3342D" w:rsidR="002377DB" w:rsidRPr="004057D6" w:rsidRDefault="002377DB">
      <w:pPr>
        <w:overflowPunct/>
        <w:autoSpaceDE/>
        <w:autoSpaceDN/>
        <w:adjustRightInd/>
        <w:textAlignment w:val="auto"/>
        <w:rPr>
          <w:b/>
          <w:bCs/>
          <w:szCs w:val="24"/>
        </w:rPr>
      </w:pPr>
      <w:r w:rsidRPr="004057D6">
        <w:rPr>
          <w:b/>
          <w:bCs/>
          <w:szCs w:val="24"/>
        </w:rPr>
        <w:br w:type="page"/>
      </w:r>
    </w:p>
    <w:sdt>
      <w:sdtPr>
        <w:rPr>
          <w:rFonts w:ascii="Segoe UI Symbol" w:eastAsia="Times New Roman" w:hAnsi="Segoe UI Symbol" w:cs="Times New Roman"/>
          <w:color w:val="auto"/>
          <w:sz w:val="24"/>
          <w:szCs w:val="20"/>
        </w:rPr>
        <w:id w:val="1483655767"/>
        <w:docPartObj>
          <w:docPartGallery w:val="Table of Contents"/>
          <w:docPartUnique/>
        </w:docPartObj>
      </w:sdtPr>
      <w:sdtEndPr>
        <w:rPr>
          <w:b/>
          <w:bCs/>
        </w:rPr>
      </w:sdtEndPr>
      <w:sdtContent>
        <w:p w14:paraId="59EE174D" w14:textId="2FECD86C" w:rsidR="006F34E5" w:rsidRPr="004057D6" w:rsidRDefault="006F34E5">
          <w:pPr>
            <w:pStyle w:val="Inhaltsverzeichnisberschrift"/>
            <w:rPr>
              <w:rFonts w:ascii="Segoe UI" w:eastAsia="Times New Roman" w:hAnsi="Segoe UI" w:cs="Segoe UI"/>
              <w:b/>
              <w:bCs/>
              <w:color w:val="auto"/>
              <w:sz w:val="24"/>
              <w:szCs w:val="24"/>
            </w:rPr>
          </w:pPr>
          <w:r w:rsidRPr="00E428C4">
            <w:rPr>
              <w:rFonts w:ascii="Segoe UI" w:eastAsia="Times New Roman" w:hAnsi="Segoe UI" w:cs="Segoe UI"/>
              <w:b/>
              <w:bCs/>
              <w:color w:val="auto"/>
              <w:sz w:val="44"/>
              <w:szCs w:val="44"/>
            </w:rPr>
            <w:t>Inhaltsverzeichnis</w:t>
          </w:r>
        </w:p>
        <w:p w14:paraId="1FE09AE6" w14:textId="58742841" w:rsidR="00CB76BA" w:rsidRPr="004057D6" w:rsidRDefault="006F34E5">
          <w:pPr>
            <w:pStyle w:val="Verzeichnis1"/>
            <w:tabs>
              <w:tab w:val="right" w:leader="dot" w:pos="9056"/>
            </w:tabs>
            <w:rPr>
              <w:rFonts w:ascii="Segoe UI" w:hAnsi="Segoe UI" w:cs="Segoe UI"/>
              <w:b/>
              <w:bCs/>
              <w:szCs w:val="24"/>
            </w:rPr>
          </w:pPr>
          <w:r w:rsidRPr="004057D6">
            <w:rPr>
              <w:rFonts w:ascii="Segoe UI" w:hAnsi="Segoe UI" w:cs="Segoe UI"/>
              <w:b/>
              <w:bCs/>
              <w:szCs w:val="24"/>
            </w:rPr>
            <w:fldChar w:fldCharType="begin"/>
          </w:r>
          <w:r w:rsidRPr="004057D6">
            <w:rPr>
              <w:rFonts w:ascii="Segoe UI" w:hAnsi="Segoe UI" w:cs="Segoe UI"/>
              <w:b/>
              <w:bCs/>
              <w:szCs w:val="24"/>
            </w:rPr>
            <w:instrText xml:space="preserve"> TOC \o "1-3" \h \z \u </w:instrText>
          </w:r>
          <w:r w:rsidRPr="004057D6">
            <w:rPr>
              <w:rFonts w:ascii="Segoe UI" w:hAnsi="Segoe UI" w:cs="Segoe UI"/>
              <w:b/>
              <w:bCs/>
              <w:szCs w:val="24"/>
            </w:rPr>
            <w:fldChar w:fldCharType="separate"/>
          </w:r>
          <w:hyperlink w:anchor="_Toc94558556" w:history="1">
            <w:r w:rsidR="00CB76BA" w:rsidRPr="004057D6">
              <w:rPr>
                <w:rFonts w:ascii="Segoe UI" w:hAnsi="Segoe UI"/>
                <w:b/>
                <w:bCs/>
                <w:szCs w:val="24"/>
              </w:rPr>
              <w:t>Präambel</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_Toc94558556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3</w:t>
            </w:r>
            <w:r w:rsidR="00CB76BA" w:rsidRPr="004057D6">
              <w:rPr>
                <w:rFonts w:ascii="Segoe UI" w:hAnsi="Segoe UI" w:cs="Segoe UI"/>
                <w:b/>
                <w:bCs/>
                <w:webHidden/>
                <w:szCs w:val="24"/>
              </w:rPr>
              <w:fldChar w:fldCharType="end"/>
            </w:r>
          </w:hyperlink>
        </w:p>
        <w:p w14:paraId="06A32367" w14:textId="35AAAE12" w:rsidR="00CB76BA" w:rsidRPr="004057D6" w:rsidRDefault="00E428C4">
          <w:pPr>
            <w:pStyle w:val="Verzeichnis1"/>
            <w:tabs>
              <w:tab w:val="right" w:leader="dot" w:pos="9056"/>
            </w:tabs>
            <w:rPr>
              <w:rFonts w:ascii="Segoe UI" w:hAnsi="Segoe UI" w:cs="Segoe UI"/>
              <w:b/>
              <w:bCs/>
              <w:szCs w:val="24"/>
            </w:rPr>
          </w:pPr>
          <w:hyperlink w:anchor="_Toc94558557" w:history="1">
            <w:r w:rsidR="00CB76BA" w:rsidRPr="004057D6">
              <w:rPr>
                <w:rFonts w:ascii="Segoe UI" w:hAnsi="Segoe UI"/>
                <w:b/>
                <w:bCs/>
                <w:szCs w:val="24"/>
              </w:rPr>
              <w:t>§ 1 Einsetzung eines Lenkungsausschusses</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_Toc94558557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4</w:t>
            </w:r>
            <w:r w:rsidR="00CB76BA" w:rsidRPr="004057D6">
              <w:rPr>
                <w:rFonts w:ascii="Segoe UI" w:hAnsi="Segoe UI" w:cs="Segoe UI"/>
                <w:b/>
                <w:bCs/>
                <w:webHidden/>
                <w:szCs w:val="24"/>
              </w:rPr>
              <w:fldChar w:fldCharType="end"/>
            </w:r>
          </w:hyperlink>
        </w:p>
        <w:p w14:paraId="3B91E296" w14:textId="24A7690D" w:rsidR="00CB76BA" w:rsidRPr="004057D6" w:rsidRDefault="00E428C4">
          <w:pPr>
            <w:pStyle w:val="Verzeichnis1"/>
            <w:tabs>
              <w:tab w:val="right" w:leader="dot" w:pos="9056"/>
            </w:tabs>
            <w:rPr>
              <w:rFonts w:ascii="Segoe UI" w:hAnsi="Segoe UI" w:cs="Segoe UI"/>
              <w:b/>
              <w:bCs/>
              <w:szCs w:val="24"/>
            </w:rPr>
          </w:pPr>
          <w:hyperlink w:anchor="_Toc94558558" w:history="1">
            <w:r w:rsidR="00CB76BA" w:rsidRPr="004057D6">
              <w:rPr>
                <w:rFonts w:ascii="Segoe UI" w:hAnsi="Segoe UI"/>
                <w:b/>
                <w:bCs/>
                <w:szCs w:val="24"/>
              </w:rPr>
              <w:t>§ 2 Zusammensetzung und Vorsitz des Lenkungsauschusses</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_Toc94558558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5</w:t>
            </w:r>
            <w:r w:rsidR="00CB76BA" w:rsidRPr="004057D6">
              <w:rPr>
                <w:rFonts w:ascii="Segoe UI" w:hAnsi="Segoe UI" w:cs="Segoe UI"/>
                <w:b/>
                <w:bCs/>
                <w:webHidden/>
                <w:szCs w:val="24"/>
              </w:rPr>
              <w:fldChar w:fldCharType="end"/>
            </w:r>
          </w:hyperlink>
        </w:p>
        <w:p w14:paraId="66AE68DC" w14:textId="470DE66F" w:rsidR="00CB76BA" w:rsidRPr="004057D6" w:rsidRDefault="00E428C4">
          <w:pPr>
            <w:pStyle w:val="Verzeichnis1"/>
            <w:tabs>
              <w:tab w:val="right" w:leader="dot" w:pos="9056"/>
            </w:tabs>
            <w:rPr>
              <w:rFonts w:ascii="Segoe UI" w:hAnsi="Segoe UI" w:cs="Segoe UI"/>
              <w:b/>
              <w:bCs/>
              <w:szCs w:val="24"/>
            </w:rPr>
          </w:pPr>
          <w:hyperlink w:anchor="_Toc94558559" w:history="1">
            <w:r w:rsidR="00CB76BA" w:rsidRPr="004057D6">
              <w:rPr>
                <w:rFonts w:ascii="Segoe UI" w:hAnsi="Segoe UI"/>
                <w:b/>
                <w:bCs/>
                <w:szCs w:val="24"/>
              </w:rPr>
              <w:t>§ 3 Aufgaben des Lenkungsausschusses</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_Toc94558559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7</w:t>
            </w:r>
            <w:r w:rsidR="00CB76BA" w:rsidRPr="004057D6">
              <w:rPr>
                <w:rFonts w:ascii="Segoe UI" w:hAnsi="Segoe UI" w:cs="Segoe UI"/>
                <w:b/>
                <w:bCs/>
                <w:webHidden/>
                <w:szCs w:val="24"/>
              </w:rPr>
              <w:fldChar w:fldCharType="end"/>
            </w:r>
          </w:hyperlink>
        </w:p>
        <w:p w14:paraId="4BF9ADFE" w14:textId="1963108A" w:rsidR="00CB76BA" w:rsidRPr="004057D6" w:rsidRDefault="00E428C4">
          <w:pPr>
            <w:pStyle w:val="Verzeichnis1"/>
            <w:tabs>
              <w:tab w:val="right" w:leader="dot" w:pos="9056"/>
            </w:tabs>
            <w:rPr>
              <w:rFonts w:ascii="Segoe UI" w:hAnsi="Segoe UI" w:cs="Segoe UI"/>
              <w:b/>
              <w:bCs/>
              <w:szCs w:val="24"/>
            </w:rPr>
          </w:pPr>
          <w:hyperlink w:anchor="_Toc94558560" w:history="1">
            <w:r w:rsidR="00CB76BA" w:rsidRPr="004057D6">
              <w:rPr>
                <w:rFonts w:ascii="Segoe UI" w:hAnsi="Segoe UI"/>
                <w:b/>
                <w:bCs/>
                <w:szCs w:val="24"/>
              </w:rPr>
              <w:t>§ 4 Arbeitsweise</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_Toc94558560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8</w:t>
            </w:r>
            <w:r w:rsidR="00CB76BA" w:rsidRPr="004057D6">
              <w:rPr>
                <w:rFonts w:ascii="Segoe UI" w:hAnsi="Segoe UI" w:cs="Segoe UI"/>
                <w:b/>
                <w:bCs/>
                <w:webHidden/>
                <w:szCs w:val="24"/>
              </w:rPr>
              <w:fldChar w:fldCharType="end"/>
            </w:r>
          </w:hyperlink>
        </w:p>
        <w:p w14:paraId="4494BC98" w14:textId="431F1A2E" w:rsidR="00CB76BA" w:rsidRPr="004057D6" w:rsidRDefault="00E428C4">
          <w:pPr>
            <w:pStyle w:val="Verzeichnis1"/>
            <w:tabs>
              <w:tab w:val="right" w:leader="dot" w:pos="9056"/>
            </w:tabs>
            <w:rPr>
              <w:rFonts w:ascii="Segoe UI" w:hAnsi="Segoe UI" w:cs="Segoe UI"/>
              <w:b/>
              <w:bCs/>
              <w:szCs w:val="24"/>
            </w:rPr>
          </w:pPr>
          <w:hyperlink w:anchor="_Toc94558561" w:history="1">
            <w:r w:rsidR="00CB76BA" w:rsidRPr="004057D6">
              <w:rPr>
                <w:rFonts w:ascii="Segoe UI" w:hAnsi="Segoe UI"/>
                <w:b/>
                <w:bCs/>
                <w:szCs w:val="24"/>
              </w:rPr>
              <w:t>§ 5 Beschlussfassung</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_Toc94558561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8</w:t>
            </w:r>
            <w:r w:rsidR="00CB76BA" w:rsidRPr="004057D6">
              <w:rPr>
                <w:rFonts w:ascii="Segoe UI" w:hAnsi="Segoe UI" w:cs="Segoe UI"/>
                <w:b/>
                <w:bCs/>
                <w:webHidden/>
                <w:szCs w:val="24"/>
              </w:rPr>
              <w:fldChar w:fldCharType="end"/>
            </w:r>
          </w:hyperlink>
        </w:p>
        <w:p w14:paraId="1913EC76" w14:textId="1CC51388" w:rsidR="00CB76BA" w:rsidRPr="004057D6" w:rsidRDefault="00E428C4">
          <w:pPr>
            <w:pStyle w:val="Verzeichnis1"/>
            <w:tabs>
              <w:tab w:val="right" w:leader="dot" w:pos="9056"/>
            </w:tabs>
            <w:rPr>
              <w:rFonts w:ascii="Segoe UI" w:hAnsi="Segoe UI" w:cs="Segoe UI"/>
              <w:b/>
              <w:bCs/>
              <w:szCs w:val="24"/>
            </w:rPr>
          </w:pPr>
          <w:hyperlink w:anchor="_Toc94558562" w:history="1">
            <w:r w:rsidR="00CB76BA" w:rsidRPr="004057D6">
              <w:rPr>
                <w:rFonts w:ascii="Segoe UI" w:hAnsi="Segoe UI"/>
                <w:b/>
                <w:bCs/>
                <w:szCs w:val="24"/>
              </w:rPr>
              <w:t>§ 6 Änderung der Geschäftsordnung</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_Toc94558562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11</w:t>
            </w:r>
            <w:r w:rsidR="00CB76BA" w:rsidRPr="004057D6">
              <w:rPr>
                <w:rFonts w:ascii="Segoe UI" w:hAnsi="Segoe UI" w:cs="Segoe UI"/>
                <w:b/>
                <w:bCs/>
                <w:webHidden/>
                <w:szCs w:val="24"/>
              </w:rPr>
              <w:fldChar w:fldCharType="end"/>
            </w:r>
          </w:hyperlink>
        </w:p>
        <w:p w14:paraId="2C632B28" w14:textId="7C12DCF4" w:rsidR="00CB76BA" w:rsidRPr="004057D6" w:rsidRDefault="00E428C4">
          <w:pPr>
            <w:pStyle w:val="Verzeichnis1"/>
            <w:tabs>
              <w:tab w:val="right" w:leader="dot" w:pos="9056"/>
            </w:tabs>
            <w:rPr>
              <w:rFonts w:ascii="Segoe UI" w:hAnsi="Segoe UI" w:cs="Segoe UI"/>
              <w:b/>
              <w:bCs/>
              <w:szCs w:val="24"/>
            </w:rPr>
          </w:pPr>
          <w:hyperlink w:anchor="_Toc94558563" w:history="1">
            <w:r w:rsidR="00CB76BA" w:rsidRPr="004057D6">
              <w:rPr>
                <w:rFonts w:ascii="Segoe UI" w:hAnsi="Segoe UI"/>
                <w:b/>
                <w:bCs/>
                <w:szCs w:val="24"/>
              </w:rPr>
              <w:t>§ 7 Inkrafttreten und Geltungsdauer</w:t>
            </w:r>
            <w:r w:rsidR="00CB76BA" w:rsidRPr="004057D6">
              <w:rPr>
                <w:rFonts w:ascii="Segoe UI" w:hAnsi="Segoe UI" w:cs="Segoe UI"/>
                <w:b/>
                <w:bCs/>
                <w:webHidden/>
                <w:szCs w:val="24"/>
              </w:rPr>
              <w:tab/>
            </w:r>
            <w:r w:rsidR="00CB76BA" w:rsidRPr="004057D6">
              <w:rPr>
                <w:rFonts w:ascii="Segoe UI" w:hAnsi="Segoe UI" w:cs="Segoe UI"/>
                <w:b/>
                <w:bCs/>
                <w:webHidden/>
                <w:szCs w:val="24"/>
              </w:rPr>
              <w:fldChar w:fldCharType="begin"/>
            </w:r>
            <w:r w:rsidR="00CB76BA" w:rsidRPr="004057D6">
              <w:rPr>
                <w:rFonts w:ascii="Segoe UI" w:hAnsi="Segoe UI" w:cs="Segoe UI"/>
                <w:b/>
                <w:bCs/>
                <w:webHidden/>
                <w:szCs w:val="24"/>
              </w:rPr>
              <w:instrText xml:space="preserve"> PAGEREF _Toc94558563 \h </w:instrText>
            </w:r>
            <w:r w:rsidR="00CB76BA" w:rsidRPr="004057D6">
              <w:rPr>
                <w:rFonts w:ascii="Segoe UI" w:hAnsi="Segoe UI" w:cs="Segoe UI"/>
                <w:b/>
                <w:bCs/>
                <w:webHidden/>
                <w:szCs w:val="24"/>
              </w:rPr>
            </w:r>
            <w:r w:rsidR="00CB76BA" w:rsidRPr="004057D6">
              <w:rPr>
                <w:rFonts w:ascii="Segoe UI" w:hAnsi="Segoe UI" w:cs="Segoe UI"/>
                <w:b/>
                <w:bCs/>
                <w:webHidden/>
                <w:szCs w:val="24"/>
              </w:rPr>
              <w:fldChar w:fldCharType="separate"/>
            </w:r>
            <w:r w:rsidR="00CB76BA" w:rsidRPr="004057D6">
              <w:rPr>
                <w:rFonts w:ascii="Segoe UI" w:hAnsi="Segoe UI" w:cs="Segoe UI"/>
                <w:b/>
                <w:bCs/>
                <w:webHidden/>
                <w:szCs w:val="24"/>
              </w:rPr>
              <w:t>11</w:t>
            </w:r>
            <w:r w:rsidR="00CB76BA" w:rsidRPr="004057D6">
              <w:rPr>
                <w:rFonts w:ascii="Segoe UI" w:hAnsi="Segoe UI" w:cs="Segoe UI"/>
                <w:b/>
                <w:bCs/>
                <w:webHidden/>
                <w:szCs w:val="24"/>
              </w:rPr>
              <w:fldChar w:fldCharType="end"/>
            </w:r>
          </w:hyperlink>
        </w:p>
        <w:p w14:paraId="1E00D9B7" w14:textId="61BF1345" w:rsidR="006F34E5" w:rsidRPr="004057D6" w:rsidRDefault="006F34E5">
          <w:pPr>
            <w:rPr>
              <w:rFonts w:ascii="Segoe UI Symbol" w:hAnsi="Segoe UI Symbol"/>
            </w:rPr>
          </w:pPr>
          <w:r w:rsidRPr="004057D6">
            <w:rPr>
              <w:rFonts w:ascii="Segoe UI" w:hAnsi="Segoe UI" w:cs="Segoe UI"/>
              <w:b/>
              <w:bCs/>
              <w:szCs w:val="24"/>
            </w:rPr>
            <w:fldChar w:fldCharType="end"/>
          </w:r>
        </w:p>
      </w:sdtContent>
    </w:sdt>
    <w:p w14:paraId="79BD2057" w14:textId="62D7991B" w:rsidR="002377DB" w:rsidRPr="004057D6" w:rsidRDefault="002377DB">
      <w:pPr>
        <w:overflowPunct/>
        <w:autoSpaceDE/>
        <w:autoSpaceDN/>
        <w:adjustRightInd/>
        <w:textAlignment w:val="auto"/>
        <w:rPr>
          <w:rFonts w:ascii="Segoe UI Symbol" w:hAnsi="Segoe UI Symbol"/>
          <w:b/>
          <w:bCs/>
          <w:szCs w:val="24"/>
        </w:rPr>
      </w:pPr>
      <w:r w:rsidRPr="004057D6">
        <w:rPr>
          <w:rFonts w:ascii="Segoe UI Symbol" w:hAnsi="Segoe UI Symbol"/>
          <w:b/>
          <w:bCs/>
          <w:szCs w:val="24"/>
        </w:rPr>
        <w:br w:type="page"/>
      </w:r>
      <w:bookmarkStart w:id="0" w:name="_GoBack"/>
      <w:bookmarkEnd w:id="0"/>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9639"/>
      </w:tblGrid>
      <w:tr w:rsidR="006F34E5" w:rsidRPr="004057D6" w14:paraId="3514CA10" w14:textId="77777777" w:rsidTr="006E01BA">
        <w:trPr>
          <w:trHeight w:val="857"/>
        </w:trPr>
        <w:tc>
          <w:tcPr>
            <w:tcW w:w="9639" w:type="dxa"/>
            <w:shd w:val="clear" w:color="auto" w:fill="C9C9C9" w:themeFill="accent3" w:themeFillTint="99"/>
          </w:tcPr>
          <w:p w14:paraId="2499A327" w14:textId="3579D96B" w:rsidR="006F34E5" w:rsidRPr="004057D6" w:rsidRDefault="006F34E5" w:rsidP="006F34E5">
            <w:pPr>
              <w:pStyle w:val="berschrift1"/>
              <w:jc w:val="center"/>
              <w:outlineLvl w:val="0"/>
              <w:rPr>
                <w:rFonts w:ascii="Segoe UI" w:hAnsi="Segoe UI" w:cs="Segoe UI"/>
                <w:b/>
                <w:sz w:val="36"/>
                <w:szCs w:val="36"/>
              </w:rPr>
            </w:pPr>
            <w:bookmarkStart w:id="1" w:name="_Toc94558556"/>
            <w:r w:rsidRPr="004057D6">
              <w:rPr>
                <w:rFonts w:ascii="Segoe UI" w:hAnsi="Segoe UI" w:cs="Segoe UI"/>
                <w:b/>
                <w:color w:val="000000" w:themeColor="text1"/>
                <w:sz w:val="36"/>
                <w:szCs w:val="36"/>
              </w:rPr>
              <w:lastRenderedPageBreak/>
              <w:t>Präambel</w:t>
            </w:r>
            <w:bookmarkEnd w:id="1"/>
          </w:p>
        </w:tc>
      </w:tr>
    </w:tbl>
    <w:p w14:paraId="78D6103E" w14:textId="58B5EFA9" w:rsidR="006F34E5" w:rsidRPr="004057D6" w:rsidRDefault="006F34E5" w:rsidP="006F34E5"/>
    <w:tbl>
      <w:tblPr>
        <w:tblStyle w:val="Tabellenraster"/>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8"/>
      </w:tblGrid>
      <w:tr w:rsidR="00F73EA9" w:rsidRPr="004057D6" w14:paraId="26C43334" w14:textId="77777777" w:rsidTr="00B40A11">
        <w:tc>
          <w:tcPr>
            <w:tcW w:w="9628" w:type="dxa"/>
            <w:shd w:val="clear" w:color="auto" w:fill="F2F2F2" w:themeFill="background1" w:themeFillShade="F2"/>
          </w:tcPr>
          <w:p w14:paraId="0A4F97B1" w14:textId="77777777" w:rsidR="00896A7C" w:rsidRPr="004057D6" w:rsidRDefault="00896A7C" w:rsidP="00850A56">
            <w:pPr>
              <w:spacing w:before="240"/>
              <w:rPr>
                <w:rFonts w:ascii="Segoe UI" w:hAnsi="Segoe UI" w:cs="Segoe UI"/>
                <w:sz w:val="22"/>
              </w:rPr>
            </w:pPr>
            <w:r w:rsidRPr="004057D6">
              <w:rPr>
                <w:rFonts w:ascii="Segoe UI" w:hAnsi="Segoe UI" w:cs="Segoe UI"/>
                <w:sz w:val="22"/>
              </w:rPr>
              <w:t xml:space="preserve">Das Land Baden-Württemberg, vertreten durch das Regierungspräsidium Tübingen, der Freistaat Bayern, vertreten durch die Regierung von Schwaben, das Land Vorarlberg, vertreten durch das Amt der Vorarlberger Landesregierung, das Fürstentum Liechtenstein vertreten durch die Regierungskanzlei sowie für die am Programm beteiligten Schweizer Kantone die </w:t>
            </w:r>
            <w:proofErr w:type="spellStart"/>
            <w:r w:rsidRPr="004057D6">
              <w:rPr>
                <w:rFonts w:ascii="Segoe UI" w:hAnsi="Segoe UI" w:cs="Segoe UI"/>
                <w:sz w:val="22"/>
              </w:rPr>
              <w:t>Interreg</w:t>
            </w:r>
            <w:proofErr w:type="spellEnd"/>
            <w:r w:rsidRPr="004057D6">
              <w:rPr>
                <w:rFonts w:ascii="Segoe UI" w:hAnsi="Segoe UI" w:cs="Segoe UI"/>
                <w:sz w:val="22"/>
              </w:rPr>
              <w:t>-Netzwerkstelle Ostschweiz bei der Staatskanzlei St. Gallen,</w:t>
            </w:r>
          </w:p>
          <w:p w14:paraId="4F126561" w14:textId="77777777" w:rsidR="00896A7C" w:rsidRPr="004057D6" w:rsidRDefault="00896A7C" w:rsidP="00850A56">
            <w:pPr>
              <w:spacing w:before="240"/>
              <w:rPr>
                <w:rFonts w:ascii="Segoe UI" w:hAnsi="Segoe UI" w:cs="Segoe UI"/>
                <w:sz w:val="22"/>
              </w:rPr>
            </w:pPr>
            <w:r w:rsidRPr="004057D6">
              <w:rPr>
                <w:rFonts w:ascii="Segoe UI" w:hAnsi="Segoe UI" w:cs="Segoe UI"/>
                <w:sz w:val="22"/>
              </w:rPr>
              <w:t>haben gestützt auf</w:t>
            </w:r>
          </w:p>
          <w:p w14:paraId="08CB5F8C" w14:textId="3DD2208A" w:rsidR="00896A7C" w:rsidRPr="004057D6" w:rsidRDefault="00896A7C" w:rsidP="00A220DD">
            <w:pPr>
              <w:pStyle w:val="Listenabsatz"/>
              <w:numPr>
                <w:ilvl w:val="0"/>
                <w:numId w:val="1"/>
              </w:numPr>
              <w:spacing w:before="120"/>
              <w:rPr>
                <w:rFonts w:ascii="Segoe UI" w:hAnsi="Segoe UI" w:cs="Segoe UI"/>
                <w:sz w:val="22"/>
              </w:rPr>
            </w:pPr>
            <w:r w:rsidRPr="004057D6">
              <w:rPr>
                <w:rFonts w:ascii="Segoe UI" w:hAnsi="Segoe UI" w:cs="Segoe UI"/>
                <w:sz w:val="22"/>
              </w:rPr>
              <w:t>die Verordnung (EU) Nr. 2021/1060 DES EUROPÄISCHEN PARLAMENTS UND DES RATES vom 30.06.2021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w:t>
            </w:r>
            <w:proofErr w:type="spellStart"/>
            <w:r w:rsidRPr="004057D6">
              <w:rPr>
                <w:rFonts w:ascii="Segoe UI" w:hAnsi="Segoe UI" w:cs="Segoe UI"/>
                <w:sz w:val="22"/>
              </w:rPr>
              <w:t>DachVO</w:t>
            </w:r>
            <w:proofErr w:type="spellEnd"/>
            <w:r w:rsidRPr="004057D6">
              <w:rPr>
                <w:rFonts w:ascii="Segoe UI" w:hAnsi="Segoe UI" w:cs="Segoe UI"/>
                <w:sz w:val="22"/>
              </w:rPr>
              <w:t>),</w:t>
            </w:r>
          </w:p>
          <w:p w14:paraId="62CF8F5D" w14:textId="7F7FE176" w:rsidR="00896A7C" w:rsidRPr="004057D6" w:rsidRDefault="00896A7C" w:rsidP="00A220DD">
            <w:pPr>
              <w:pStyle w:val="Listenabsatz"/>
              <w:numPr>
                <w:ilvl w:val="0"/>
                <w:numId w:val="1"/>
              </w:numPr>
              <w:spacing w:before="120"/>
              <w:rPr>
                <w:rFonts w:ascii="Segoe UI" w:hAnsi="Segoe UI" w:cs="Segoe UI"/>
                <w:sz w:val="22"/>
              </w:rPr>
            </w:pPr>
            <w:r w:rsidRPr="004057D6">
              <w:rPr>
                <w:rFonts w:ascii="Segoe UI" w:hAnsi="Segoe UI" w:cs="Segoe UI"/>
                <w:sz w:val="22"/>
              </w:rPr>
              <w:t>die Verordnung (EU) Nr. 2021/1058 DES EUROPÄISCHEN PARLAMENTS UND DES RATES vom 30.06.2021 über den Europäischen Fonds für regionale Entwicklung und den Kohäsionsfonds (EFRE-VO),</w:t>
            </w:r>
          </w:p>
          <w:p w14:paraId="71318CEE" w14:textId="0617F112" w:rsidR="00896A7C" w:rsidRPr="004057D6" w:rsidRDefault="00896A7C" w:rsidP="00A220DD">
            <w:pPr>
              <w:pStyle w:val="Listenabsatz"/>
              <w:numPr>
                <w:ilvl w:val="0"/>
                <w:numId w:val="1"/>
              </w:numPr>
              <w:spacing w:before="120"/>
              <w:rPr>
                <w:rFonts w:ascii="Segoe UI" w:hAnsi="Segoe UI" w:cs="Segoe UI"/>
                <w:sz w:val="22"/>
              </w:rPr>
            </w:pPr>
            <w:r w:rsidRPr="004057D6">
              <w:rPr>
                <w:rFonts w:ascii="Segoe UI" w:hAnsi="Segoe UI" w:cs="Segoe UI"/>
                <w:sz w:val="22"/>
              </w:rPr>
              <w:t>die Verordnung (EU) Nr. 2021/1059 DES EUROPÄISCHEN PARLAMENTS UND DES RATES vom 30.06.2021 über besondere Bestimmungen für das aus dem Europäischen Fonds für regionale Entwicklung sowie aus Finanzierungsinstrumenten für das auswärtige Handeln unterstützte Ziel „Europäische territoriale Zusammenarbeit“ (</w:t>
            </w:r>
            <w:proofErr w:type="spellStart"/>
            <w:r w:rsidRPr="004057D6">
              <w:rPr>
                <w:rFonts w:ascii="Segoe UI" w:hAnsi="Segoe UI" w:cs="Segoe UI"/>
                <w:sz w:val="22"/>
              </w:rPr>
              <w:t>Interreg</w:t>
            </w:r>
            <w:proofErr w:type="spellEnd"/>
            <w:r w:rsidRPr="004057D6">
              <w:rPr>
                <w:rFonts w:ascii="Segoe UI" w:hAnsi="Segoe UI" w:cs="Segoe UI"/>
                <w:sz w:val="22"/>
              </w:rPr>
              <w:t>) (ETZ-VO)</w:t>
            </w:r>
          </w:p>
          <w:p w14:paraId="1D1F3BD6" w14:textId="7F023AD4" w:rsidR="00896A7C" w:rsidRPr="004057D6" w:rsidRDefault="00896A7C" w:rsidP="00A220DD">
            <w:pPr>
              <w:pStyle w:val="Listenabsatz"/>
              <w:numPr>
                <w:ilvl w:val="0"/>
                <w:numId w:val="3"/>
              </w:numPr>
              <w:spacing w:before="120"/>
              <w:rPr>
                <w:rFonts w:ascii="Segoe UI" w:hAnsi="Segoe UI" w:cs="Segoe UI"/>
                <w:sz w:val="22"/>
              </w:rPr>
            </w:pPr>
            <w:r w:rsidRPr="004057D6">
              <w:rPr>
                <w:rFonts w:ascii="Segoe UI" w:hAnsi="Segoe UI" w:cs="Segoe UI"/>
                <w:sz w:val="22"/>
              </w:rPr>
              <w:t xml:space="preserve">das Schweizer Bundesgesetz über Regionalpolitik vom 06.10.2006, sowie das aktuell für die </w:t>
            </w:r>
            <w:proofErr w:type="spellStart"/>
            <w:r w:rsidRPr="004057D6">
              <w:rPr>
                <w:rFonts w:ascii="Segoe UI" w:hAnsi="Segoe UI" w:cs="Segoe UI"/>
                <w:sz w:val="22"/>
              </w:rPr>
              <w:t>Interreg</w:t>
            </w:r>
            <w:proofErr w:type="spellEnd"/>
            <w:r w:rsidRPr="004057D6">
              <w:rPr>
                <w:rFonts w:ascii="Segoe UI" w:hAnsi="Segoe UI" w:cs="Segoe UI"/>
                <w:sz w:val="22"/>
              </w:rPr>
              <w:t xml:space="preserve">-Programme gültige Mehrjahresprogramm der Neuen Regionalpolitik und die dazugehörende Botschaft. </w:t>
            </w:r>
          </w:p>
          <w:p w14:paraId="1143732A" w14:textId="16609359" w:rsidR="00896A7C" w:rsidRPr="004057D6" w:rsidRDefault="00896A7C" w:rsidP="00A220DD">
            <w:pPr>
              <w:pStyle w:val="Listenabsatz"/>
              <w:numPr>
                <w:ilvl w:val="0"/>
                <w:numId w:val="2"/>
              </w:numPr>
              <w:spacing w:before="120"/>
              <w:rPr>
                <w:rFonts w:ascii="Segoe UI" w:hAnsi="Segoe UI" w:cs="Segoe UI"/>
                <w:sz w:val="22"/>
              </w:rPr>
            </w:pPr>
            <w:r w:rsidRPr="004057D6">
              <w:rPr>
                <w:rFonts w:ascii="Segoe UI" w:hAnsi="Segoe UI" w:cs="Segoe UI"/>
                <w:sz w:val="22"/>
              </w:rPr>
              <w:t xml:space="preserve">den Regierungsbeschluss vom </w:t>
            </w:r>
            <w:r w:rsidR="00E23F61" w:rsidRPr="004057D6">
              <w:rPr>
                <w:rFonts w:ascii="Segoe UI" w:hAnsi="Segoe UI" w:cs="Segoe UI"/>
                <w:sz w:val="22"/>
              </w:rPr>
              <w:t>09.11.2021</w:t>
            </w:r>
            <w:r w:rsidRPr="004057D6">
              <w:rPr>
                <w:rFonts w:ascii="Segoe UI" w:hAnsi="Segoe UI" w:cs="Segoe UI"/>
                <w:sz w:val="22"/>
              </w:rPr>
              <w:t xml:space="preserve"> in Bezug auf die Teilnahme des Fürstentums Liechtenstein am </w:t>
            </w:r>
            <w:proofErr w:type="spellStart"/>
            <w:r w:rsidRPr="004057D6">
              <w:rPr>
                <w:rFonts w:ascii="Segoe UI" w:hAnsi="Segoe UI" w:cs="Segoe UI"/>
                <w:sz w:val="22"/>
              </w:rPr>
              <w:t>Interreg</w:t>
            </w:r>
            <w:proofErr w:type="spellEnd"/>
            <w:r w:rsidRPr="004057D6">
              <w:rPr>
                <w:rFonts w:ascii="Segoe UI" w:hAnsi="Segoe UI" w:cs="Segoe UI"/>
                <w:sz w:val="22"/>
              </w:rPr>
              <w:t xml:space="preserve"> VI-Programm „Alpenrhein-Bodensee-Hochrhein 2021 - 2027“ </w:t>
            </w:r>
          </w:p>
          <w:p w14:paraId="6B519B70" w14:textId="2B6347D6" w:rsidR="00896A7C" w:rsidRPr="004057D6" w:rsidRDefault="00896A7C" w:rsidP="00A220DD">
            <w:pPr>
              <w:pStyle w:val="Listenabsatz"/>
              <w:numPr>
                <w:ilvl w:val="0"/>
                <w:numId w:val="2"/>
              </w:numPr>
              <w:spacing w:before="120"/>
              <w:rPr>
                <w:rFonts w:ascii="Segoe UI" w:hAnsi="Segoe UI" w:cs="Segoe UI"/>
                <w:sz w:val="22"/>
              </w:rPr>
            </w:pPr>
            <w:r w:rsidRPr="004057D6">
              <w:rPr>
                <w:rFonts w:ascii="Segoe UI" w:hAnsi="Segoe UI" w:cs="Segoe UI"/>
                <w:sz w:val="22"/>
              </w:rPr>
              <w:t>die Entscheidung der Europäischen Kommission zur Genehmigung des Kooperationsprogramms „</w:t>
            </w:r>
            <w:proofErr w:type="spellStart"/>
            <w:r w:rsidRPr="004057D6">
              <w:rPr>
                <w:rFonts w:ascii="Segoe UI" w:hAnsi="Segoe UI" w:cs="Segoe UI"/>
                <w:sz w:val="22"/>
              </w:rPr>
              <w:t>Interreg</w:t>
            </w:r>
            <w:proofErr w:type="spellEnd"/>
            <w:r w:rsidRPr="004057D6">
              <w:rPr>
                <w:rFonts w:ascii="Segoe UI" w:hAnsi="Segoe UI" w:cs="Segoe UI"/>
                <w:sz w:val="22"/>
              </w:rPr>
              <w:t xml:space="preserve"> VI-A Deutschland–Österreich–Schweiz–Liechtenstein (Alpenrhein–Bodensee–Hochrhein)“ im Rahmen des Ziels “Europäische territoriale Zusammenarbeit 2021- 2027“ (2021TC16RFCB023) vom XX.XX.XXXX</w:t>
            </w:r>
          </w:p>
          <w:p w14:paraId="34C50EF9" w14:textId="77777777" w:rsidR="00896A7C" w:rsidRPr="004057D6" w:rsidRDefault="00896A7C" w:rsidP="00850A56">
            <w:pPr>
              <w:spacing w:before="240"/>
              <w:rPr>
                <w:rFonts w:ascii="Segoe UI" w:hAnsi="Segoe UI" w:cs="Segoe UI"/>
                <w:sz w:val="22"/>
              </w:rPr>
            </w:pPr>
            <w:r w:rsidRPr="004057D6">
              <w:rPr>
                <w:rFonts w:ascii="Segoe UI" w:hAnsi="Segoe UI" w:cs="Segoe UI"/>
                <w:sz w:val="22"/>
              </w:rPr>
              <w:t xml:space="preserve">- die zugleich Bestandteil dieser Geschäftsordnung sind - </w:t>
            </w:r>
          </w:p>
          <w:p w14:paraId="4B9869E6" w14:textId="4D7072CA" w:rsidR="00896A7C" w:rsidRPr="004057D6" w:rsidRDefault="00896A7C" w:rsidP="00850A56">
            <w:pPr>
              <w:spacing w:before="240"/>
              <w:rPr>
                <w:rFonts w:ascii="Segoe UI" w:hAnsi="Segoe UI" w:cs="Segoe UI"/>
                <w:sz w:val="22"/>
              </w:rPr>
            </w:pPr>
            <w:r w:rsidRPr="004057D6">
              <w:rPr>
                <w:rFonts w:ascii="Segoe UI" w:hAnsi="Segoe UI" w:cs="Segoe UI"/>
                <w:sz w:val="22"/>
              </w:rPr>
              <w:t>sowie unter Beachtung der institutionellen, rechtlichen und finanziellen Systeme der am Programm beteiligten Länder und Kantone</w:t>
            </w:r>
            <w:r w:rsidR="00507AA4" w:rsidRPr="004057D6">
              <w:rPr>
                <w:rFonts w:ascii="Segoe UI" w:hAnsi="Segoe UI" w:cs="Segoe UI"/>
                <w:sz w:val="22"/>
              </w:rPr>
              <w:t xml:space="preserve"> </w:t>
            </w:r>
            <w:r w:rsidRPr="004057D6">
              <w:rPr>
                <w:rFonts w:ascii="Segoe UI" w:hAnsi="Segoe UI" w:cs="Segoe UI"/>
                <w:sz w:val="22"/>
              </w:rPr>
              <w:t xml:space="preserve">über folgende Verfahrensregelungen für den Lenkungsausschuss des </w:t>
            </w:r>
            <w:proofErr w:type="spellStart"/>
            <w:r w:rsidRPr="004057D6">
              <w:rPr>
                <w:rFonts w:ascii="Segoe UI" w:hAnsi="Segoe UI" w:cs="Segoe UI"/>
                <w:sz w:val="22"/>
              </w:rPr>
              <w:t>Interreg</w:t>
            </w:r>
            <w:proofErr w:type="spellEnd"/>
            <w:r w:rsidRPr="004057D6">
              <w:rPr>
                <w:rFonts w:ascii="Segoe UI" w:hAnsi="Segoe UI" w:cs="Segoe UI"/>
                <w:sz w:val="22"/>
              </w:rPr>
              <w:t xml:space="preserve"> VI-Programms „Alpenrhein-Bodensee-Hochrhein“ Einvernehmen erzielt:</w:t>
            </w:r>
          </w:p>
          <w:p w14:paraId="715A0D7C" w14:textId="5418CAAC" w:rsidR="006F34E5" w:rsidRPr="004057D6" w:rsidRDefault="006F34E5" w:rsidP="00850A56">
            <w:pPr>
              <w:overflowPunct/>
              <w:spacing w:before="240"/>
              <w:textAlignment w:val="auto"/>
              <w:rPr>
                <w:rFonts w:ascii="Segoe UI" w:hAnsi="Segoe UI" w:cs="Segoe UI"/>
                <w:sz w:val="22"/>
              </w:rPr>
            </w:pPr>
          </w:p>
        </w:tc>
      </w:tr>
    </w:tbl>
    <w:p w14:paraId="37A5ED60" w14:textId="5CC0D0B3" w:rsidR="002E1838" w:rsidRPr="004057D6" w:rsidRDefault="002E1838" w:rsidP="00850A56">
      <w:pPr>
        <w:spacing w:before="240"/>
        <w:rPr>
          <w:rFonts w:ascii="Segoe UI" w:hAnsi="Segoe UI" w:cs="Segoe UI"/>
          <w:b/>
          <w:bCs/>
          <w:sz w:val="28"/>
          <w:szCs w:val="28"/>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9639"/>
      </w:tblGrid>
      <w:tr w:rsidR="00A504C7" w:rsidRPr="004057D6" w14:paraId="17FAA44D" w14:textId="77777777" w:rsidTr="006E01BA">
        <w:trPr>
          <w:trHeight w:val="857"/>
        </w:trPr>
        <w:tc>
          <w:tcPr>
            <w:tcW w:w="9639" w:type="dxa"/>
            <w:shd w:val="clear" w:color="auto" w:fill="C9C9C9" w:themeFill="accent3" w:themeFillTint="99"/>
            <w:vAlign w:val="center"/>
          </w:tcPr>
          <w:p w14:paraId="2BCAA3CC" w14:textId="4E92F52D" w:rsidR="00A504C7" w:rsidRPr="004057D6" w:rsidRDefault="00A504C7" w:rsidP="006E01BA">
            <w:pPr>
              <w:pStyle w:val="berschrift1"/>
              <w:spacing w:before="0" w:after="120"/>
              <w:jc w:val="center"/>
              <w:outlineLvl w:val="0"/>
              <w:rPr>
                <w:rFonts w:ascii="Segoe UI" w:hAnsi="Segoe UI" w:cs="Segoe UI"/>
                <w:b/>
                <w:sz w:val="36"/>
                <w:szCs w:val="36"/>
              </w:rPr>
            </w:pPr>
            <w:bookmarkStart w:id="2" w:name="_Toc94558557"/>
            <w:r w:rsidRPr="004057D6">
              <w:rPr>
                <w:rFonts w:ascii="Segoe UI" w:hAnsi="Segoe UI" w:cs="Segoe UI"/>
                <w:b/>
                <w:color w:val="000000" w:themeColor="text1"/>
                <w:sz w:val="36"/>
                <w:szCs w:val="36"/>
              </w:rPr>
              <w:t>§ 1</w:t>
            </w:r>
            <w:r w:rsidRPr="004057D6">
              <w:rPr>
                <w:rFonts w:ascii="Segoe UI" w:hAnsi="Segoe UI" w:cs="Segoe UI"/>
                <w:b/>
                <w:color w:val="000000" w:themeColor="text1"/>
                <w:sz w:val="36"/>
                <w:szCs w:val="36"/>
              </w:rPr>
              <w:br/>
            </w:r>
            <w:r w:rsidR="00896A7C" w:rsidRPr="004057D6">
              <w:rPr>
                <w:rFonts w:ascii="Segoe UI" w:hAnsi="Segoe UI" w:cs="Segoe UI"/>
                <w:b/>
                <w:color w:val="000000" w:themeColor="text1"/>
                <w:sz w:val="36"/>
                <w:szCs w:val="36"/>
              </w:rPr>
              <w:t>Einsetzung eines Lenkungsausschusses</w:t>
            </w:r>
            <w:bookmarkEnd w:id="2"/>
          </w:p>
        </w:tc>
      </w:tr>
    </w:tbl>
    <w:p w14:paraId="472C56B3" w14:textId="77777777" w:rsidR="00A504C7" w:rsidRPr="004057D6" w:rsidRDefault="00A504C7" w:rsidP="006E01BA"/>
    <w:tbl>
      <w:tblPr>
        <w:tblStyle w:val="Tabellenraster"/>
        <w:tblW w:w="0" w:type="auto"/>
        <w:tblInd w:w="-572" w:type="dxa"/>
        <w:tblLook w:val="04A0" w:firstRow="1" w:lastRow="0" w:firstColumn="1" w:lastColumn="0" w:noHBand="0" w:noVBand="1"/>
      </w:tblPr>
      <w:tblGrid>
        <w:gridCol w:w="9628"/>
      </w:tblGrid>
      <w:tr w:rsidR="00F73EA9" w:rsidRPr="004057D6" w14:paraId="1343FF69" w14:textId="77777777" w:rsidTr="0013778F">
        <w:tc>
          <w:tcPr>
            <w:tcW w:w="9628" w:type="dxa"/>
            <w:tcBorders>
              <w:top w:val="nil"/>
              <w:left w:val="nil"/>
              <w:bottom w:val="nil"/>
              <w:right w:val="nil"/>
            </w:tcBorders>
            <w:shd w:val="clear" w:color="auto" w:fill="F2F2F2" w:themeFill="background1" w:themeFillShade="F2"/>
          </w:tcPr>
          <w:p w14:paraId="2135930A" w14:textId="77777777" w:rsidR="00896A7C" w:rsidRPr="004057D6" w:rsidRDefault="00896A7C" w:rsidP="00850A56">
            <w:pPr>
              <w:tabs>
                <w:tab w:val="left" w:pos="567"/>
              </w:tabs>
              <w:spacing w:before="240"/>
              <w:rPr>
                <w:rFonts w:ascii="Segoe UI" w:hAnsi="Segoe UI" w:cs="Segoe UI"/>
                <w:sz w:val="22"/>
              </w:rPr>
            </w:pPr>
            <w:r w:rsidRPr="004057D6">
              <w:rPr>
                <w:rFonts w:ascii="Segoe UI" w:hAnsi="Segoe UI" w:cs="Segoe UI"/>
                <w:sz w:val="22"/>
              </w:rPr>
              <w:t xml:space="preserve">(1) Der Begleitausschuss des </w:t>
            </w:r>
            <w:proofErr w:type="spellStart"/>
            <w:r w:rsidRPr="004057D6">
              <w:rPr>
                <w:rFonts w:ascii="Segoe UI" w:hAnsi="Segoe UI" w:cs="Segoe UI"/>
                <w:sz w:val="22"/>
              </w:rPr>
              <w:t>Interreg</w:t>
            </w:r>
            <w:proofErr w:type="spellEnd"/>
            <w:r w:rsidRPr="004057D6">
              <w:rPr>
                <w:rFonts w:ascii="Segoe UI" w:hAnsi="Segoe UI" w:cs="Segoe UI"/>
                <w:sz w:val="22"/>
              </w:rPr>
              <w:t xml:space="preserve"> VI-Programms „Alpenrhein-Bodensee-Hochrhein“ hat am XX.XX.2022 zur Umsetzung des vorgenannten </w:t>
            </w:r>
            <w:proofErr w:type="spellStart"/>
            <w:r w:rsidRPr="004057D6">
              <w:rPr>
                <w:rFonts w:ascii="Segoe UI" w:hAnsi="Segoe UI" w:cs="Segoe UI"/>
                <w:sz w:val="22"/>
              </w:rPr>
              <w:t>Interreg</w:t>
            </w:r>
            <w:proofErr w:type="spellEnd"/>
            <w:r w:rsidRPr="004057D6">
              <w:rPr>
                <w:rFonts w:ascii="Segoe UI" w:hAnsi="Segoe UI" w:cs="Segoe UI"/>
                <w:sz w:val="22"/>
              </w:rPr>
              <w:t xml:space="preserve"> VI-Programms entsprechend dem von der EU-Kommission am XX.XX.2022 genehmigten Programm einen Lenkungsausschuss eingerichtet. </w:t>
            </w:r>
          </w:p>
          <w:p w14:paraId="5D6D9BC6" w14:textId="70357163" w:rsidR="00896A7C" w:rsidRPr="004057D6" w:rsidRDefault="00896A7C" w:rsidP="00850A56">
            <w:pPr>
              <w:tabs>
                <w:tab w:val="left" w:pos="567"/>
              </w:tabs>
              <w:spacing w:before="240"/>
              <w:rPr>
                <w:rFonts w:ascii="Segoe UI" w:hAnsi="Segoe UI" w:cs="Segoe UI"/>
                <w:sz w:val="22"/>
              </w:rPr>
            </w:pPr>
            <w:r w:rsidRPr="004057D6">
              <w:rPr>
                <w:rFonts w:ascii="Segoe UI" w:hAnsi="Segoe UI" w:cs="Segoe UI"/>
                <w:sz w:val="22"/>
              </w:rPr>
              <w:t>(2) Der Lenkungsausschuss verständigt sich auf eine eigene Geschäftsordnung.</w:t>
            </w:r>
          </w:p>
          <w:p w14:paraId="05290F7E" w14:textId="6D1A82BD" w:rsidR="00A504C7" w:rsidRPr="004057D6" w:rsidRDefault="00A504C7" w:rsidP="00850A56">
            <w:pPr>
              <w:overflowPunct/>
              <w:spacing w:before="240"/>
              <w:textAlignment w:val="auto"/>
              <w:rPr>
                <w:rFonts w:cs="Arial"/>
                <w:sz w:val="22"/>
              </w:rPr>
            </w:pPr>
          </w:p>
        </w:tc>
      </w:tr>
    </w:tbl>
    <w:p w14:paraId="6CFE9321" w14:textId="73BECCC2" w:rsidR="00CB76BA" w:rsidRPr="004057D6" w:rsidRDefault="00CB76BA" w:rsidP="00850A56">
      <w:pPr>
        <w:overflowPunct/>
        <w:autoSpaceDE/>
        <w:autoSpaceDN/>
        <w:adjustRightInd/>
        <w:spacing w:before="240"/>
        <w:textAlignment w:val="auto"/>
      </w:pPr>
    </w:p>
    <w:tbl>
      <w:tblPr>
        <w:tblStyle w:val="Tabellenraster"/>
        <w:tblW w:w="9639" w:type="dxa"/>
        <w:tblInd w:w="-572" w:type="dxa"/>
        <w:shd w:val="clear" w:color="auto" w:fill="789ECD"/>
        <w:tblLook w:val="04A0" w:firstRow="1" w:lastRow="0" w:firstColumn="1" w:lastColumn="0" w:noHBand="0" w:noVBand="1"/>
      </w:tblPr>
      <w:tblGrid>
        <w:gridCol w:w="9639"/>
      </w:tblGrid>
      <w:tr w:rsidR="00A504C7" w:rsidRPr="004057D6" w14:paraId="77A3F171" w14:textId="77777777" w:rsidTr="006E01BA">
        <w:trPr>
          <w:trHeight w:val="624"/>
        </w:trPr>
        <w:tc>
          <w:tcPr>
            <w:tcW w:w="9639" w:type="dxa"/>
            <w:tcBorders>
              <w:top w:val="nil"/>
              <w:left w:val="nil"/>
              <w:bottom w:val="nil"/>
              <w:right w:val="nil"/>
            </w:tcBorders>
            <w:shd w:val="clear" w:color="auto" w:fill="C9C9C9" w:themeFill="accent3" w:themeFillTint="99"/>
            <w:vAlign w:val="center"/>
          </w:tcPr>
          <w:p w14:paraId="7001298D" w14:textId="77777777" w:rsidR="00A504C7" w:rsidRPr="004057D6" w:rsidRDefault="00A504C7" w:rsidP="006E01BA">
            <w:pPr>
              <w:pStyle w:val="berschrift1"/>
              <w:spacing w:before="0" w:after="120"/>
              <w:jc w:val="center"/>
              <w:outlineLvl w:val="0"/>
            </w:pPr>
            <w:bookmarkStart w:id="3" w:name="_Toc94558558"/>
            <w:r w:rsidRPr="004057D6">
              <w:rPr>
                <w:rFonts w:ascii="Segoe UI" w:hAnsi="Segoe UI" w:cs="Segoe UI"/>
                <w:b/>
                <w:color w:val="000000" w:themeColor="text1"/>
                <w:sz w:val="36"/>
                <w:szCs w:val="36"/>
              </w:rPr>
              <w:lastRenderedPageBreak/>
              <w:t>§ 2</w:t>
            </w:r>
            <w:r w:rsidR="00A16F30" w:rsidRPr="004057D6">
              <w:rPr>
                <w:rFonts w:ascii="Segoe UI" w:hAnsi="Segoe UI" w:cs="Segoe UI"/>
                <w:b/>
                <w:color w:val="000000" w:themeColor="text1"/>
                <w:sz w:val="36"/>
                <w:szCs w:val="36"/>
              </w:rPr>
              <w:br/>
            </w:r>
            <w:r w:rsidR="0070721D">
              <w:rPr>
                <w:rFonts w:ascii="Segoe UI" w:hAnsi="Segoe UI" w:cs="Segoe UI"/>
                <w:b/>
                <w:color w:val="000000" w:themeColor="text1"/>
                <w:sz w:val="36"/>
                <w:szCs w:val="36"/>
              </w:rPr>
              <w:t xml:space="preserve">Zusammensetzung und Vorsitz </w:t>
            </w:r>
            <w:r w:rsidRPr="004057D6">
              <w:rPr>
                <w:rFonts w:ascii="Segoe UI" w:hAnsi="Segoe UI" w:cs="Segoe UI"/>
                <w:b/>
                <w:color w:val="000000" w:themeColor="text1"/>
                <w:sz w:val="36"/>
                <w:szCs w:val="36"/>
              </w:rPr>
              <w:t>des</w:t>
            </w:r>
            <w:r w:rsidR="00375653" w:rsidRPr="004057D6">
              <w:rPr>
                <w:rFonts w:ascii="Segoe UI" w:hAnsi="Segoe UI" w:cs="Segoe UI"/>
                <w:b/>
                <w:color w:val="000000" w:themeColor="text1"/>
                <w:sz w:val="36"/>
                <w:szCs w:val="36"/>
              </w:rPr>
              <w:t xml:space="preserve"> Lenkungs</w:t>
            </w:r>
            <w:r w:rsidRPr="004057D6">
              <w:rPr>
                <w:rFonts w:ascii="Segoe UI" w:hAnsi="Segoe UI" w:cs="Segoe UI"/>
                <w:b/>
                <w:color w:val="000000" w:themeColor="text1"/>
                <w:sz w:val="36"/>
                <w:szCs w:val="36"/>
              </w:rPr>
              <w:t>aus</w:t>
            </w:r>
            <w:r w:rsidR="00397BF7" w:rsidRPr="004057D6">
              <w:rPr>
                <w:rFonts w:ascii="Segoe UI" w:hAnsi="Segoe UI" w:cs="Segoe UI"/>
                <w:b/>
                <w:color w:val="000000" w:themeColor="text1"/>
                <w:sz w:val="36"/>
                <w:szCs w:val="36"/>
              </w:rPr>
              <w:t>s</w:t>
            </w:r>
            <w:r w:rsidRPr="004057D6">
              <w:rPr>
                <w:rFonts w:ascii="Segoe UI" w:hAnsi="Segoe UI" w:cs="Segoe UI"/>
                <w:b/>
                <w:color w:val="000000" w:themeColor="text1"/>
                <w:sz w:val="36"/>
                <w:szCs w:val="36"/>
              </w:rPr>
              <w:t>chusses</w:t>
            </w:r>
            <w:bookmarkEnd w:id="3"/>
          </w:p>
        </w:tc>
      </w:tr>
    </w:tbl>
    <w:p w14:paraId="2DAE2004" w14:textId="77777777" w:rsidR="00A504C7" w:rsidRPr="004057D6" w:rsidRDefault="00A504C7" w:rsidP="006E01BA"/>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gridCol w:w="11"/>
      </w:tblGrid>
      <w:tr w:rsidR="00F73EA9" w:rsidRPr="004057D6" w14:paraId="7C94A3B3" w14:textId="77777777" w:rsidTr="00FF2679">
        <w:trPr>
          <w:gridAfter w:val="1"/>
          <w:wAfter w:w="11" w:type="dxa"/>
        </w:trPr>
        <w:tc>
          <w:tcPr>
            <w:tcW w:w="9628" w:type="dxa"/>
            <w:shd w:val="clear" w:color="auto" w:fill="F2F2F2" w:themeFill="background1" w:themeFillShade="F2"/>
          </w:tcPr>
          <w:p w14:paraId="48A5C99E" w14:textId="77777777" w:rsidR="00375653" w:rsidRPr="004057D6" w:rsidRDefault="00375653" w:rsidP="00850A56">
            <w:pPr>
              <w:tabs>
                <w:tab w:val="left" w:pos="567"/>
              </w:tabs>
              <w:spacing w:before="240"/>
              <w:rPr>
                <w:rFonts w:ascii="Segoe UI" w:hAnsi="Segoe UI" w:cs="Segoe UI"/>
                <w:sz w:val="22"/>
              </w:rPr>
            </w:pPr>
            <w:r w:rsidRPr="004057D6">
              <w:rPr>
                <w:rFonts w:ascii="Segoe UI" w:hAnsi="Segoe UI" w:cs="Segoe UI"/>
                <w:sz w:val="22"/>
              </w:rPr>
              <w:t>(1) Stimmberechtigte Mitglieder des Lenkungsausschusses sind mit je einem Vertretendem und je einer Stimme</w:t>
            </w:r>
          </w:p>
          <w:p w14:paraId="1B348D70" w14:textId="7F283DE0" w:rsidR="00375653"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das Regierungspräsidium Tübingen</w:t>
            </w:r>
            <w:r w:rsidR="00916F4F" w:rsidRPr="004057D6">
              <w:rPr>
                <w:rFonts w:ascii="Segoe UI" w:hAnsi="Segoe UI" w:cs="Segoe UI"/>
                <w:sz w:val="22"/>
              </w:rPr>
              <w:t xml:space="preserve"> </w:t>
            </w:r>
            <w:r w:rsidRPr="004057D6">
              <w:rPr>
                <w:rFonts w:ascii="Segoe UI" w:hAnsi="Segoe UI" w:cs="Segoe UI"/>
                <w:sz w:val="22"/>
              </w:rPr>
              <w:t>für das Land Baden-Württemberg,</w:t>
            </w:r>
          </w:p>
          <w:p w14:paraId="4A22CFC3" w14:textId="6CC7D97C" w:rsidR="00375653"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die Regierung von Schwaben</w:t>
            </w:r>
            <w:r w:rsidR="00916F4F" w:rsidRPr="004057D6">
              <w:rPr>
                <w:rFonts w:ascii="Segoe UI" w:hAnsi="Segoe UI" w:cs="Segoe UI"/>
                <w:sz w:val="22"/>
              </w:rPr>
              <w:t xml:space="preserve"> </w:t>
            </w:r>
            <w:r w:rsidRPr="004057D6">
              <w:rPr>
                <w:rFonts w:ascii="Segoe UI" w:hAnsi="Segoe UI" w:cs="Segoe UI"/>
                <w:sz w:val="22"/>
              </w:rPr>
              <w:t>für den Freistaat Bayern,</w:t>
            </w:r>
          </w:p>
          <w:p w14:paraId="4D3A2A80"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die Regierungskanzlei</w:t>
            </w:r>
            <w:r w:rsidR="00916F4F" w:rsidRPr="004057D6">
              <w:rPr>
                <w:rFonts w:ascii="Segoe UI" w:hAnsi="Segoe UI" w:cs="Segoe UI"/>
                <w:sz w:val="22"/>
              </w:rPr>
              <w:t xml:space="preserve"> </w:t>
            </w:r>
            <w:r w:rsidRPr="004057D6">
              <w:rPr>
                <w:rFonts w:ascii="Segoe UI" w:hAnsi="Segoe UI" w:cs="Segoe UI"/>
                <w:sz w:val="22"/>
              </w:rPr>
              <w:t>für das Fürstentum Liechtenstein,</w:t>
            </w:r>
          </w:p>
          <w:p w14:paraId="31A88A00"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das Amt der Vorarlberger Landesregierun</w:t>
            </w:r>
            <w:r w:rsidR="00916F4F" w:rsidRPr="004057D6">
              <w:rPr>
                <w:rFonts w:ascii="Segoe UI" w:hAnsi="Segoe UI" w:cs="Segoe UI"/>
                <w:sz w:val="22"/>
              </w:rPr>
              <w:t xml:space="preserve">g </w:t>
            </w:r>
            <w:r w:rsidRPr="004057D6">
              <w:rPr>
                <w:rFonts w:ascii="Segoe UI" w:hAnsi="Segoe UI" w:cs="Segoe UI"/>
                <w:sz w:val="22"/>
              </w:rPr>
              <w:t>für das Land Vorarlberg,</w:t>
            </w:r>
          </w:p>
          <w:p w14:paraId="764A87A7"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die Ostschweizer Regierungskonferenz - für die am Programm beteiligten Schweizer Kantone Aargau, Appenzell Ausserrhoden, Appenzell Innerrhoden, Glarus, Graubünden, Schaffhausen, St. Gallen, Thurgau und Zürich,</w:t>
            </w:r>
          </w:p>
          <w:p w14:paraId="65429AB7"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 xml:space="preserve">ein Vertreter / eine Vertreterin der Arbeitgeberinteressen </w:t>
            </w:r>
          </w:p>
          <w:p w14:paraId="76065E51"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ein Vertreter / eine Vertreterin der Arbeitnehmerinteressen</w:t>
            </w:r>
          </w:p>
          <w:p w14:paraId="3A1BC9AC" w14:textId="77777777" w:rsidR="00916F4F"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ein Vertreter / eine Vertreterin der Umweltinteressen</w:t>
            </w:r>
          </w:p>
          <w:p w14:paraId="0A70AB6D" w14:textId="01371B37" w:rsidR="00375653" w:rsidRPr="004057D6" w:rsidRDefault="00375653" w:rsidP="002705DB">
            <w:pPr>
              <w:numPr>
                <w:ilvl w:val="0"/>
                <w:numId w:val="4"/>
              </w:numPr>
              <w:spacing w:before="120"/>
              <w:rPr>
                <w:rFonts w:ascii="Segoe UI" w:hAnsi="Segoe UI" w:cs="Segoe UI"/>
                <w:sz w:val="22"/>
              </w:rPr>
            </w:pPr>
            <w:r w:rsidRPr="004057D6">
              <w:rPr>
                <w:rFonts w:ascii="Segoe UI" w:hAnsi="Segoe UI" w:cs="Segoe UI"/>
                <w:sz w:val="22"/>
              </w:rPr>
              <w:t>ein Vertreter/ eine Vertreterin der Zivilgesellschaft</w:t>
            </w:r>
          </w:p>
          <w:p w14:paraId="1F6D37F6" w14:textId="1431B22A" w:rsidR="00375653" w:rsidRPr="004057D6" w:rsidRDefault="00375653" w:rsidP="00850A56">
            <w:pPr>
              <w:spacing w:before="240"/>
              <w:rPr>
                <w:rFonts w:ascii="Segoe UI" w:hAnsi="Segoe UI" w:cs="Segoe UI"/>
                <w:sz w:val="22"/>
              </w:rPr>
            </w:pPr>
            <w:r w:rsidRPr="004057D6">
              <w:rPr>
                <w:rFonts w:ascii="Segoe UI" w:hAnsi="Segoe UI" w:cs="Segoe UI"/>
                <w:sz w:val="22"/>
              </w:rPr>
              <w:t xml:space="preserve">(2) Die stimmberechtigten Mitglieder aus den Bereichen Arbeitgeberinteressen, Arbeitnehmerinteressen, Umwelt und Zivilgesellschaft stellen dabei sicher, dass soziale, wirtschaftliche und Umweltinteressen, insbesondere im Hinblick auf die Förderung der sozialen Inklusion, der Grundrechte, der Rechte von Menschen mit Behinderung, der Gleichstellung der Geschlechter und Nichtdiskriminierung im Sinne des Artikel 8 Absatz 1 Buchstabe b und c der </w:t>
            </w:r>
            <w:proofErr w:type="spellStart"/>
            <w:r w:rsidRPr="004057D6">
              <w:rPr>
                <w:rFonts w:ascii="Segoe UI" w:hAnsi="Segoe UI" w:cs="Segoe UI"/>
                <w:sz w:val="22"/>
              </w:rPr>
              <w:t>DachVO</w:t>
            </w:r>
            <w:proofErr w:type="spellEnd"/>
            <w:r w:rsidRPr="004057D6">
              <w:rPr>
                <w:rFonts w:ascii="Segoe UI" w:hAnsi="Segoe UI" w:cs="Segoe UI"/>
                <w:sz w:val="22"/>
              </w:rPr>
              <w:t xml:space="preserve"> berücksichtigt werden.</w:t>
            </w:r>
          </w:p>
          <w:p w14:paraId="518CAA28" w14:textId="01F75383" w:rsidR="00C846B7" w:rsidRPr="004057D6" w:rsidRDefault="00C846B7" w:rsidP="00850A56">
            <w:pPr>
              <w:spacing w:before="240"/>
              <w:rPr>
                <w:rFonts w:ascii="Segoe UI" w:hAnsi="Segoe UI" w:cs="Segoe UI"/>
                <w:sz w:val="22"/>
              </w:rPr>
            </w:pPr>
          </w:p>
          <w:p w14:paraId="2471D38A" w14:textId="22ACFBC4" w:rsidR="00C846B7" w:rsidRPr="004057D6" w:rsidRDefault="00C846B7" w:rsidP="00C846B7">
            <w:pPr>
              <w:spacing w:before="240"/>
              <w:rPr>
                <w:rFonts w:ascii="Segoe UI" w:hAnsi="Segoe UI" w:cs="Segoe UI"/>
                <w:sz w:val="22"/>
              </w:rPr>
            </w:pPr>
            <w:r w:rsidRPr="004057D6">
              <w:rPr>
                <w:rFonts w:ascii="Segoe UI" w:hAnsi="Segoe UI" w:cs="Segoe UI"/>
                <w:sz w:val="22"/>
              </w:rPr>
              <w:t>(</w:t>
            </w:r>
            <w:r w:rsidR="00FA2889" w:rsidRPr="004057D6">
              <w:rPr>
                <w:rFonts w:ascii="Segoe UI" w:hAnsi="Segoe UI" w:cs="Segoe UI"/>
                <w:sz w:val="22"/>
              </w:rPr>
              <w:t>3)</w:t>
            </w:r>
            <w:r w:rsidRPr="004057D6">
              <w:rPr>
                <w:rFonts w:ascii="Segoe UI" w:hAnsi="Segoe UI" w:cs="Segoe UI"/>
                <w:sz w:val="22"/>
              </w:rPr>
              <w:t xml:space="preserve"> Die stimmberechtigten Mitglieder </w:t>
            </w:r>
            <w:r w:rsidR="00FA2889" w:rsidRPr="004057D6">
              <w:rPr>
                <w:rFonts w:ascii="Segoe UI" w:hAnsi="Segoe UI" w:cs="Segoe UI"/>
                <w:sz w:val="22"/>
              </w:rPr>
              <w:t xml:space="preserve">benennen </w:t>
            </w:r>
            <w:r w:rsidRPr="004057D6">
              <w:rPr>
                <w:rFonts w:ascii="Segoe UI" w:hAnsi="Segoe UI" w:cs="Segoe UI"/>
                <w:sz w:val="22"/>
              </w:rPr>
              <w:t>eine</w:t>
            </w:r>
            <w:r w:rsidR="00FA2889" w:rsidRPr="004057D6">
              <w:rPr>
                <w:rFonts w:ascii="Segoe UI" w:hAnsi="Segoe UI" w:cs="Segoe UI"/>
                <w:sz w:val="22"/>
              </w:rPr>
              <w:t>/n</w:t>
            </w:r>
            <w:r w:rsidRPr="004057D6">
              <w:rPr>
                <w:rFonts w:ascii="Segoe UI" w:hAnsi="Segoe UI" w:cs="Segoe UI"/>
                <w:sz w:val="22"/>
              </w:rPr>
              <w:t xml:space="preserve"> Stellvertreter</w:t>
            </w:r>
            <w:r w:rsidR="00FA2889" w:rsidRPr="004057D6">
              <w:rPr>
                <w:rFonts w:ascii="Segoe UI" w:hAnsi="Segoe UI" w:cs="Segoe UI"/>
                <w:sz w:val="22"/>
              </w:rPr>
              <w:t>/</w:t>
            </w:r>
            <w:r w:rsidRPr="004057D6">
              <w:rPr>
                <w:rFonts w:ascii="Segoe UI" w:hAnsi="Segoe UI" w:cs="Segoe UI"/>
                <w:sz w:val="22"/>
              </w:rPr>
              <w:t>in.</w:t>
            </w:r>
            <w:r w:rsidR="00FA2889" w:rsidRPr="004057D6">
              <w:rPr>
                <w:rFonts w:ascii="Segoe UI" w:hAnsi="Segoe UI" w:cs="Segoe UI"/>
                <w:sz w:val="22"/>
              </w:rPr>
              <w:t xml:space="preserve"> Die Stellvertretung beschränkt sich auf die Fälle der Verhinderung.</w:t>
            </w:r>
            <w:r w:rsidRPr="004057D6">
              <w:rPr>
                <w:rFonts w:ascii="Segoe UI" w:hAnsi="Segoe UI" w:cs="Segoe UI"/>
                <w:sz w:val="22"/>
              </w:rPr>
              <w:t xml:space="preserve"> </w:t>
            </w:r>
          </w:p>
          <w:p w14:paraId="3C089728" w14:textId="40F861FE" w:rsidR="00375653" w:rsidRPr="004057D6" w:rsidRDefault="00375653" w:rsidP="00850A56">
            <w:pPr>
              <w:tabs>
                <w:tab w:val="left" w:pos="142"/>
                <w:tab w:val="left" w:pos="284"/>
              </w:tabs>
              <w:spacing w:before="240"/>
              <w:rPr>
                <w:rFonts w:ascii="Segoe UI" w:hAnsi="Segoe UI" w:cs="Segoe UI"/>
                <w:sz w:val="22"/>
              </w:rPr>
            </w:pPr>
            <w:r w:rsidRPr="004057D6">
              <w:rPr>
                <w:rFonts w:ascii="Segoe UI" w:hAnsi="Segoe UI" w:cs="Segoe UI"/>
                <w:sz w:val="22"/>
              </w:rPr>
              <w:t>(</w:t>
            </w:r>
            <w:r w:rsidR="00FA2889" w:rsidRPr="004057D6">
              <w:rPr>
                <w:rFonts w:ascii="Segoe UI" w:hAnsi="Segoe UI" w:cs="Segoe UI"/>
                <w:sz w:val="22"/>
              </w:rPr>
              <w:t>4</w:t>
            </w:r>
            <w:r w:rsidRPr="004057D6">
              <w:rPr>
                <w:rFonts w:ascii="Segoe UI" w:hAnsi="Segoe UI" w:cs="Segoe UI"/>
                <w:sz w:val="22"/>
              </w:rPr>
              <w:t>) Beratende nichtstimmberechtigte Mitglieder des Lenkungsausschusses mit je eine</w:t>
            </w:r>
            <w:r w:rsidR="006825D2" w:rsidRPr="004057D6">
              <w:rPr>
                <w:rFonts w:ascii="Segoe UI" w:hAnsi="Segoe UI" w:cs="Segoe UI"/>
                <w:sz w:val="22"/>
              </w:rPr>
              <w:t>r/</w:t>
            </w:r>
            <w:r w:rsidRPr="004057D6">
              <w:rPr>
                <w:rFonts w:ascii="Segoe UI" w:hAnsi="Segoe UI" w:cs="Segoe UI"/>
                <w:sz w:val="22"/>
              </w:rPr>
              <w:t>m Vertretende</w:t>
            </w:r>
            <w:r w:rsidR="006825D2" w:rsidRPr="004057D6">
              <w:rPr>
                <w:rFonts w:ascii="Segoe UI" w:hAnsi="Segoe UI" w:cs="Segoe UI"/>
                <w:sz w:val="22"/>
              </w:rPr>
              <w:t>n</w:t>
            </w:r>
            <w:r w:rsidRPr="004057D6">
              <w:rPr>
                <w:rFonts w:ascii="Segoe UI" w:hAnsi="Segoe UI" w:cs="Segoe UI"/>
                <w:sz w:val="22"/>
              </w:rPr>
              <w:t xml:space="preserve"> und beratender Funktion sind</w:t>
            </w:r>
          </w:p>
          <w:p w14:paraId="6C5A20CD" w14:textId="77777777" w:rsidR="00997FF8"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 xml:space="preserve">die Europäische Kommission </w:t>
            </w:r>
          </w:p>
          <w:p w14:paraId="617946F5" w14:textId="27F4908C" w:rsidR="00375653"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das Staatsministerium des Landes Baden-Württemberg,</w:t>
            </w:r>
          </w:p>
          <w:p w14:paraId="04A40571" w14:textId="77777777" w:rsidR="00375653"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das Bayerische Staatsministerium für Wirtschaft, Landesentwicklung und Energie,</w:t>
            </w:r>
          </w:p>
          <w:p w14:paraId="19214911" w14:textId="77777777" w:rsidR="002705DB" w:rsidRPr="004057D6" w:rsidRDefault="002705DB" w:rsidP="002705DB">
            <w:pPr>
              <w:numPr>
                <w:ilvl w:val="0"/>
                <w:numId w:val="4"/>
              </w:numPr>
              <w:spacing w:before="120"/>
              <w:rPr>
                <w:rFonts w:ascii="Segoe UI" w:hAnsi="Segoe UI" w:cs="Segoe UI"/>
                <w:sz w:val="22"/>
              </w:rPr>
            </w:pPr>
            <w:r w:rsidRPr="004057D6">
              <w:rPr>
                <w:rFonts w:ascii="Segoe UI" w:hAnsi="Segoe UI" w:cs="Segoe UI"/>
                <w:sz w:val="22"/>
              </w:rPr>
              <w:t>das österreichische Bundesministerium für Landwirtschaft, Regionen und Tourismus</w:t>
            </w:r>
          </w:p>
          <w:p w14:paraId="38E6AF48" w14:textId="77777777" w:rsidR="00916F4F"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 xml:space="preserve">die Internationale Bodenseekonferenz, </w:t>
            </w:r>
          </w:p>
          <w:p w14:paraId="13A519F4" w14:textId="77777777" w:rsidR="00916F4F"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 xml:space="preserve">die Hochrheinkommission, </w:t>
            </w:r>
          </w:p>
          <w:p w14:paraId="5DC80166" w14:textId="77777777" w:rsidR="00916F4F"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die Bescheinigungsbehörde</w:t>
            </w:r>
          </w:p>
          <w:p w14:paraId="4913498E" w14:textId="77777777" w:rsidR="00916F4F"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die Stabsstelle für grenzüberschreitende Zusammenarbeit und europäische Angelegenheiten des Regierungspräsidiums Freiburg, und</w:t>
            </w:r>
          </w:p>
          <w:p w14:paraId="344078EF" w14:textId="2933F38E" w:rsidR="00375653" w:rsidRPr="004057D6" w:rsidRDefault="00375653" w:rsidP="002705DB">
            <w:pPr>
              <w:numPr>
                <w:ilvl w:val="0"/>
                <w:numId w:val="4"/>
              </w:numPr>
              <w:tabs>
                <w:tab w:val="left" w:pos="567"/>
              </w:tabs>
              <w:spacing w:before="120"/>
              <w:rPr>
                <w:rFonts w:ascii="Segoe UI" w:hAnsi="Segoe UI" w:cs="Segoe UI"/>
                <w:sz w:val="22"/>
              </w:rPr>
            </w:pPr>
            <w:r w:rsidRPr="004057D6">
              <w:rPr>
                <w:rFonts w:ascii="Segoe UI" w:hAnsi="Segoe UI" w:cs="Segoe UI"/>
                <w:sz w:val="22"/>
              </w:rPr>
              <w:t xml:space="preserve">das Gemeinsame Sekretariat des </w:t>
            </w:r>
            <w:proofErr w:type="spellStart"/>
            <w:r w:rsidRPr="004057D6">
              <w:rPr>
                <w:rFonts w:ascii="Segoe UI" w:hAnsi="Segoe UI" w:cs="Segoe UI"/>
                <w:sz w:val="22"/>
              </w:rPr>
              <w:t>Interreg</w:t>
            </w:r>
            <w:proofErr w:type="spellEnd"/>
            <w:r w:rsidRPr="004057D6">
              <w:rPr>
                <w:rFonts w:ascii="Segoe UI" w:hAnsi="Segoe UI" w:cs="Segoe UI"/>
                <w:sz w:val="22"/>
              </w:rPr>
              <w:t xml:space="preserve"> VI-Programms „Alpenrhein-Bodensee-Hochrhein“.</w:t>
            </w:r>
          </w:p>
          <w:p w14:paraId="345FD631" w14:textId="5418BCBB" w:rsidR="007615BB" w:rsidRPr="004057D6" w:rsidRDefault="007615BB" w:rsidP="00850A56">
            <w:pPr>
              <w:spacing w:before="240"/>
              <w:rPr>
                <w:rFonts w:ascii="Segoe UI" w:hAnsi="Segoe UI" w:cs="Segoe UI"/>
                <w:sz w:val="22"/>
              </w:rPr>
            </w:pPr>
            <w:r w:rsidRPr="004057D6">
              <w:rPr>
                <w:rFonts w:ascii="Segoe UI" w:hAnsi="Segoe UI" w:cs="Segoe UI"/>
                <w:sz w:val="22"/>
              </w:rPr>
              <w:t>(5) Die beratenden nichtstimmberechtigten Mitglieder können im Falle der Verhinderung eine/n Stellvertreter/in entsenden.</w:t>
            </w:r>
          </w:p>
          <w:p w14:paraId="286C2E5C" w14:textId="6F745D37" w:rsidR="00375653" w:rsidRPr="004057D6" w:rsidRDefault="00375653" w:rsidP="00850A56">
            <w:pPr>
              <w:spacing w:before="240"/>
              <w:rPr>
                <w:rFonts w:ascii="Segoe UI" w:hAnsi="Segoe UI" w:cs="Segoe UI"/>
                <w:sz w:val="22"/>
              </w:rPr>
            </w:pPr>
            <w:r w:rsidRPr="004057D6">
              <w:rPr>
                <w:rFonts w:ascii="Segoe UI" w:hAnsi="Segoe UI" w:cs="Segoe UI"/>
                <w:sz w:val="22"/>
              </w:rPr>
              <w:t>(</w:t>
            </w:r>
            <w:r w:rsidR="007615BB" w:rsidRPr="004057D6">
              <w:rPr>
                <w:rFonts w:ascii="Segoe UI" w:hAnsi="Segoe UI" w:cs="Segoe UI"/>
                <w:sz w:val="22"/>
              </w:rPr>
              <w:t>6</w:t>
            </w:r>
            <w:r w:rsidRPr="004057D6">
              <w:rPr>
                <w:rFonts w:ascii="Segoe UI" w:hAnsi="Segoe UI" w:cs="Segoe UI"/>
                <w:sz w:val="22"/>
              </w:rPr>
              <w:t>) Im Bedarfsfall können weitere nichtstimmberechtigte Personen nach vorheriger Konsultation unter den stimmberechtigten Mitgliedern von dem/der Vorsitzenden des Lenkungsausschusses zu den Sitzungen eingeladen werden.</w:t>
            </w:r>
          </w:p>
          <w:p w14:paraId="593B487A" w14:textId="4D2CD2F1" w:rsidR="00375653" w:rsidRPr="004057D6" w:rsidRDefault="00FA2889" w:rsidP="00850A56">
            <w:pPr>
              <w:spacing w:before="240"/>
              <w:rPr>
                <w:rFonts w:ascii="Segoe UI" w:hAnsi="Segoe UI" w:cs="Segoe UI"/>
                <w:sz w:val="22"/>
              </w:rPr>
            </w:pPr>
            <w:r w:rsidRPr="004057D6">
              <w:rPr>
                <w:rFonts w:ascii="Segoe UI" w:hAnsi="Segoe UI" w:cs="Segoe UI"/>
                <w:sz w:val="22"/>
              </w:rPr>
              <w:t>(</w:t>
            </w:r>
            <w:r w:rsidR="007615BB" w:rsidRPr="004057D6">
              <w:rPr>
                <w:rFonts w:ascii="Segoe UI" w:hAnsi="Segoe UI" w:cs="Segoe UI"/>
                <w:sz w:val="22"/>
              </w:rPr>
              <w:t>7</w:t>
            </w:r>
            <w:r w:rsidR="00375653" w:rsidRPr="004057D6">
              <w:rPr>
                <w:rFonts w:ascii="Segoe UI" w:hAnsi="Segoe UI" w:cs="Segoe UI"/>
                <w:sz w:val="22"/>
              </w:rPr>
              <w:t xml:space="preserve">) Die in den Absätzen 1 bis </w:t>
            </w:r>
            <w:r w:rsidR="007615BB" w:rsidRPr="004057D6">
              <w:rPr>
                <w:rFonts w:ascii="Segoe UI" w:hAnsi="Segoe UI" w:cs="Segoe UI"/>
                <w:sz w:val="22"/>
              </w:rPr>
              <w:t>5</w:t>
            </w:r>
            <w:r w:rsidR="00375653" w:rsidRPr="004057D6">
              <w:rPr>
                <w:rFonts w:ascii="Segoe UI" w:hAnsi="Segoe UI" w:cs="Segoe UI"/>
                <w:sz w:val="22"/>
              </w:rPr>
              <w:t xml:space="preserve"> genannten Mitglieder dürfen bei persönlicher Befangenheit weder beratend, noch entscheidend mitwirken. Befangenheit liegt insbesondere vor, wenn die Möglichkeit besteht, dass das betreffende Mitglied durch seine persönliche Beziehung zu der den Gegenstand einer Beratung und Beschlussfassung bildenden Sache oder zu den an dieser Sache beteiligten Personen in der unparteiischen Amtsführung beeinflusst sein könnte. Der/die Vorsitzende prüft zu Beginn der Sitzung die Befangenheit der in den Absätzen 1 bis 3 genannten Mitglieder zu den einzelnen Tagesordnungspunkten ab. Wird bei einem Mitglied eine persönliche Befangenheit festgestellt, so ist das Mitglied von der Teilnahme an der Sitzung zu dem betreffenden Tagesordnungspunkt/Projekt ausgeschlossen. Die persönliche Befangenheit bzw. Unbefangenheit der Mitglieder ist in der Niederschrift nach § 5 Absatz 4 mit aufzunehmen.</w:t>
            </w:r>
          </w:p>
          <w:p w14:paraId="40311944" w14:textId="622632E6" w:rsidR="0069270C" w:rsidRPr="004057D6" w:rsidRDefault="0069270C" w:rsidP="00850A56">
            <w:pPr>
              <w:spacing w:before="240"/>
              <w:rPr>
                <w:rFonts w:ascii="Segoe UI" w:hAnsi="Segoe UI" w:cs="Segoe UI"/>
                <w:sz w:val="22"/>
              </w:rPr>
            </w:pPr>
            <w:r w:rsidRPr="004057D6">
              <w:rPr>
                <w:rFonts w:ascii="Segoe UI" w:hAnsi="Segoe UI" w:cs="Segoe UI"/>
                <w:sz w:val="22"/>
              </w:rPr>
              <w:lastRenderedPageBreak/>
              <w:t>(</w:t>
            </w:r>
            <w:r w:rsidR="007615BB" w:rsidRPr="004057D6">
              <w:rPr>
                <w:rFonts w:ascii="Segoe UI" w:hAnsi="Segoe UI" w:cs="Segoe UI"/>
                <w:sz w:val="22"/>
              </w:rPr>
              <w:t>8</w:t>
            </w:r>
            <w:r w:rsidRPr="004057D6">
              <w:rPr>
                <w:rFonts w:ascii="Segoe UI" w:hAnsi="Segoe UI" w:cs="Segoe UI"/>
                <w:sz w:val="22"/>
              </w:rPr>
              <w:t>) Die Mitglieder werden in einer Mitgliederliste namentlich benannt, die Teil dieser Geschäftsordnung ist.</w:t>
            </w:r>
          </w:p>
          <w:p w14:paraId="52584DFB" w14:textId="38AA51D2" w:rsidR="00375653" w:rsidRPr="004057D6" w:rsidRDefault="00375653" w:rsidP="00850A56">
            <w:pPr>
              <w:tabs>
                <w:tab w:val="left" w:pos="567"/>
              </w:tabs>
              <w:spacing w:before="240"/>
              <w:rPr>
                <w:rFonts w:ascii="Segoe UI" w:hAnsi="Segoe UI" w:cs="Segoe UI"/>
                <w:sz w:val="22"/>
              </w:rPr>
            </w:pPr>
            <w:r w:rsidRPr="004057D6">
              <w:rPr>
                <w:rFonts w:ascii="Segoe UI" w:hAnsi="Segoe UI" w:cs="Segoe UI"/>
                <w:sz w:val="22"/>
              </w:rPr>
              <w:t>(</w:t>
            </w:r>
            <w:r w:rsidR="007615BB" w:rsidRPr="004057D6">
              <w:rPr>
                <w:rFonts w:ascii="Segoe UI" w:hAnsi="Segoe UI" w:cs="Segoe UI"/>
                <w:sz w:val="22"/>
              </w:rPr>
              <w:t>9</w:t>
            </w:r>
            <w:r w:rsidRPr="004057D6">
              <w:rPr>
                <w:rFonts w:ascii="Segoe UI" w:hAnsi="Segoe UI" w:cs="Segoe UI"/>
                <w:sz w:val="22"/>
              </w:rPr>
              <w:t xml:space="preserve">) Der Vorsitz des Lenkungsausschusses obliegt der Verwaltungsbehörde beim Regierungspräsidium Tübingen. </w:t>
            </w:r>
          </w:p>
          <w:p w14:paraId="45B6457D" w14:textId="142478E0" w:rsidR="00F73EA9" w:rsidRPr="004057D6" w:rsidRDefault="00F73EA9" w:rsidP="00850A56">
            <w:pPr>
              <w:spacing w:before="240"/>
              <w:rPr>
                <w:rFonts w:ascii="Segoe UI" w:hAnsi="Segoe UI" w:cs="Segoe UI"/>
                <w:sz w:val="22"/>
              </w:rPr>
            </w:pPr>
          </w:p>
        </w:tc>
      </w:tr>
      <w:tr w:rsidR="001604F9" w:rsidRPr="004057D6" w14:paraId="0153B9FA" w14:textId="77777777" w:rsidTr="00FF2679">
        <w:tblPrEx>
          <w:shd w:val="clear" w:color="auto" w:fill="789ECD"/>
        </w:tblPrEx>
        <w:trPr>
          <w:trHeight w:val="857"/>
        </w:trPr>
        <w:tc>
          <w:tcPr>
            <w:tcW w:w="9639" w:type="dxa"/>
            <w:gridSpan w:val="2"/>
            <w:shd w:val="clear" w:color="auto" w:fill="C9C9C9" w:themeFill="accent3" w:themeFillTint="99"/>
          </w:tcPr>
          <w:p w14:paraId="3817BA52" w14:textId="552DFDFC" w:rsidR="001604F9" w:rsidRPr="004057D6" w:rsidRDefault="001604F9" w:rsidP="006E01BA">
            <w:pPr>
              <w:pStyle w:val="berschrift1"/>
              <w:spacing w:before="0" w:after="120"/>
              <w:jc w:val="center"/>
              <w:outlineLvl w:val="0"/>
              <w:rPr>
                <w:rFonts w:ascii="Segoe UI" w:hAnsi="Segoe UI" w:cs="Segoe UI"/>
                <w:sz w:val="22"/>
              </w:rPr>
            </w:pPr>
            <w:bookmarkStart w:id="4" w:name="_Toc94558559"/>
            <w:r w:rsidRPr="004057D6">
              <w:rPr>
                <w:rFonts w:ascii="Segoe UI" w:eastAsia="Times New Roman" w:hAnsi="Segoe UI" w:cs="Segoe UI"/>
                <w:b/>
                <w:bCs/>
                <w:color w:val="auto"/>
                <w:sz w:val="36"/>
                <w:szCs w:val="36"/>
              </w:rPr>
              <w:lastRenderedPageBreak/>
              <w:t>§ 3</w:t>
            </w:r>
            <w:r w:rsidRPr="004057D6">
              <w:rPr>
                <w:rFonts w:ascii="Segoe UI" w:eastAsia="Times New Roman" w:hAnsi="Segoe UI" w:cs="Segoe UI"/>
                <w:b/>
                <w:bCs/>
                <w:color w:val="auto"/>
                <w:sz w:val="36"/>
                <w:szCs w:val="36"/>
              </w:rPr>
              <w:br/>
              <w:t xml:space="preserve">Aufgaben des </w:t>
            </w:r>
            <w:r w:rsidR="009E4CBE" w:rsidRPr="004057D6">
              <w:rPr>
                <w:rFonts w:ascii="Segoe UI" w:eastAsia="Times New Roman" w:hAnsi="Segoe UI" w:cs="Segoe UI"/>
                <w:b/>
                <w:bCs/>
                <w:color w:val="auto"/>
                <w:sz w:val="36"/>
                <w:szCs w:val="36"/>
              </w:rPr>
              <w:t>Lenkungs</w:t>
            </w:r>
            <w:r w:rsidRPr="004057D6">
              <w:rPr>
                <w:rFonts w:ascii="Segoe UI" w:eastAsia="Times New Roman" w:hAnsi="Segoe UI" w:cs="Segoe UI"/>
                <w:b/>
                <w:bCs/>
                <w:color w:val="auto"/>
                <w:sz w:val="36"/>
                <w:szCs w:val="36"/>
              </w:rPr>
              <w:t>ausschusses</w:t>
            </w:r>
            <w:bookmarkEnd w:id="4"/>
          </w:p>
        </w:tc>
      </w:tr>
    </w:tbl>
    <w:p w14:paraId="0954DEB9" w14:textId="17F11648" w:rsidR="00A16F30" w:rsidRPr="004057D6" w:rsidRDefault="00A16F30" w:rsidP="006E01BA">
      <w:pPr>
        <w:rPr>
          <w:rFonts w:ascii="Segoe UI" w:hAnsi="Segoe UI" w:cs="Segoe UI"/>
          <w:sz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181743" w:rsidRPr="004057D6" w14:paraId="589E1FA6" w14:textId="77777777" w:rsidTr="00610825">
        <w:tc>
          <w:tcPr>
            <w:tcW w:w="9623" w:type="dxa"/>
            <w:shd w:val="clear" w:color="auto" w:fill="F2F2F2" w:themeFill="background1" w:themeFillShade="F2"/>
          </w:tcPr>
          <w:p w14:paraId="7D492117" w14:textId="2480EF32" w:rsidR="009E4CBE" w:rsidRPr="004057D6" w:rsidRDefault="009E4CBE" w:rsidP="00850A56">
            <w:pPr>
              <w:tabs>
                <w:tab w:val="left" w:pos="567"/>
              </w:tabs>
              <w:spacing w:before="240"/>
              <w:rPr>
                <w:rFonts w:ascii="Segoe UI" w:hAnsi="Segoe UI" w:cs="Segoe UI"/>
                <w:sz w:val="22"/>
              </w:rPr>
            </w:pPr>
            <w:r w:rsidRPr="004057D6">
              <w:rPr>
                <w:rFonts w:ascii="Segoe UI" w:hAnsi="Segoe UI" w:cs="Segoe UI"/>
                <w:sz w:val="22"/>
              </w:rPr>
              <w:t xml:space="preserve">(1) Dem Lenkungsausschuss obliegen insbesondere die allgemeine Koordinierung des Programms, die Auswahl der Projekte und die Festlegung von Auswahlkriterien und der Methodik für die Projektauswahl. </w:t>
            </w:r>
          </w:p>
          <w:p w14:paraId="79876CEF" w14:textId="77777777" w:rsidR="009E4CBE" w:rsidRPr="004057D6" w:rsidRDefault="009E4CBE" w:rsidP="00850A56">
            <w:pPr>
              <w:tabs>
                <w:tab w:val="left" w:pos="567"/>
              </w:tabs>
              <w:spacing w:before="240"/>
              <w:rPr>
                <w:rFonts w:ascii="Segoe UI" w:hAnsi="Segoe UI" w:cs="Segoe UI"/>
                <w:sz w:val="22"/>
              </w:rPr>
            </w:pPr>
            <w:r w:rsidRPr="004057D6">
              <w:rPr>
                <w:rFonts w:ascii="Segoe UI" w:hAnsi="Segoe UI" w:cs="Segoe UI"/>
                <w:sz w:val="22"/>
              </w:rPr>
              <w:t>(2) Weiterhin übernimmt er die koordinierte Begleitung bei der Durchführung des Programms und ist verantwortlich für das laufende Programmcontrolling. Zudem regt er Änderungen und Anpassungen hinsichtlich des Programms an.</w:t>
            </w:r>
          </w:p>
          <w:p w14:paraId="5B6AF725" w14:textId="77777777" w:rsidR="009E4CBE" w:rsidRPr="004057D6" w:rsidRDefault="009E4CBE" w:rsidP="00850A56">
            <w:pPr>
              <w:tabs>
                <w:tab w:val="left" w:pos="567"/>
              </w:tabs>
              <w:spacing w:before="240"/>
              <w:rPr>
                <w:rFonts w:ascii="Segoe UI" w:hAnsi="Segoe UI" w:cs="Segoe UI"/>
                <w:sz w:val="22"/>
              </w:rPr>
            </w:pPr>
            <w:r w:rsidRPr="004057D6">
              <w:rPr>
                <w:rFonts w:ascii="Segoe UI" w:hAnsi="Segoe UI" w:cs="Segoe UI"/>
                <w:sz w:val="22"/>
              </w:rPr>
              <w:t xml:space="preserve">(3) Der Lenkungsausschuss ist dem Begleitausschuss in regelmäßigen Abständen über seine Arbeit berichtspflichtig. In Abstimmung mit der Verwaltungsbehörde bereitet er zugleich die Sitzungen des Begleitausschusses vor. </w:t>
            </w:r>
          </w:p>
          <w:p w14:paraId="31983D0E" w14:textId="77777777" w:rsidR="009E4CBE" w:rsidRPr="004057D6" w:rsidRDefault="009E4CBE" w:rsidP="00850A56">
            <w:pPr>
              <w:tabs>
                <w:tab w:val="left" w:pos="567"/>
              </w:tabs>
              <w:spacing w:before="240"/>
              <w:rPr>
                <w:rFonts w:ascii="Segoe UI" w:hAnsi="Segoe UI" w:cs="Segoe UI"/>
                <w:sz w:val="22"/>
              </w:rPr>
            </w:pPr>
            <w:r w:rsidRPr="004057D6">
              <w:rPr>
                <w:rFonts w:ascii="Segoe UI" w:hAnsi="Segoe UI" w:cs="Segoe UI"/>
                <w:sz w:val="22"/>
              </w:rPr>
              <w:t>(4) Für die Auswahl der Vorhaben schlägt der Lenkungsausschuss gemäß Artikel 22 Abs.2 der Verordnung (EU) 2021/1059 nichtdiskriminierende, transparente Kriterien und Verfahren dem Begleitausschuss zur Genehmigung vor, die die Zugänglichkeit für Menschen mit Behinderungen und die Gleichstellung der Geschlechter sicherstellen sowie der Charta der Grundrechte der Europäischen Union, dem Prinzip der nachhaltigen Entwicklung und der Umweltpolitik der Union im Einklang mit Artikel 11 und Artikel 191 Absatz 1 AEUV Rechnung tragen, und wendet diese an.</w:t>
            </w:r>
          </w:p>
          <w:p w14:paraId="20E46DC9" w14:textId="77777777" w:rsidR="00181743" w:rsidRPr="004057D6" w:rsidRDefault="009E4CBE" w:rsidP="00850A56">
            <w:pPr>
              <w:spacing w:before="240"/>
              <w:rPr>
                <w:sz w:val="22"/>
              </w:rPr>
            </w:pPr>
            <w:r w:rsidRPr="004057D6">
              <w:rPr>
                <w:sz w:val="22"/>
              </w:rPr>
              <w:t>(</w:t>
            </w:r>
            <w:r w:rsidRPr="004057D6">
              <w:rPr>
                <w:rFonts w:ascii="Segoe UI" w:hAnsi="Segoe UI" w:cs="Segoe UI"/>
                <w:sz w:val="22"/>
              </w:rPr>
              <w:t>5) Er stellt sicher, dass Ziele, Entwicklungsschwerpunkte, Verordnungsvorschriften, Durchführungsbestimmungen, Gemeinschaftspolitiken und Vorgaben zur Öffentlichkeitsarbeit eingehalten werden. Bei der Auswahl der Vorhaben obliegt es ihm die gemäß Artikel 22 Abs.4 der Verordnung (EU)</w:t>
            </w:r>
            <w:r w:rsidRPr="004057D6">
              <w:rPr>
                <w:sz w:val="22"/>
              </w:rPr>
              <w:t xml:space="preserve"> </w:t>
            </w:r>
          </w:p>
          <w:p w14:paraId="7B99DC1C" w14:textId="6270EA96" w:rsidR="009E4CBE" w:rsidRPr="004057D6" w:rsidRDefault="009E4CBE" w:rsidP="00850A56">
            <w:pPr>
              <w:spacing w:before="240"/>
              <w:rPr>
                <w:rFonts w:ascii="Segoe UI" w:hAnsi="Segoe UI" w:cs="Segoe UI"/>
                <w:sz w:val="22"/>
              </w:rPr>
            </w:pPr>
          </w:p>
        </w:tc>
      </w:tr>
    </w:tbl>
    <w:p w14:paraId="36ED1A89" w14:textId="411FD1A9" w:rsidR="009F76F3" w:rsidRPr="004057D6" w:rsidRDefault="009F76F3" w:rsidP="00850A56">
      <w:pPr>
        <w:spacing w:before="240"/>
        <w:rPr>
          <w:rFonts w:ascii="Segoe UI" w:hAnsi="Segoe UI" w:cs="Segoe UI"/>
          <w:b/>
          <w:bCs/>
          <w:sz w:val="28"/>
          <w:szCs w:val="28"/>
        </w:rPr>
      </w:pPr>
    </w:p>
    <w:tbl>
      <w:tblPr>
        <w:tblStyle w:val="Tabellenraster"/>
        <w:tblW w:w="9639" w:type="dxa"/>
        <w:tblInd w:w="-572" w:type="dxa"/>
        <w:shd w:val="clear" w:color="auto" w:fill="789ECD"/>
        <w:tblLook w:val="04A0" w:firstRow="1" w:lastRow="0" w:firstColumn="1" w:lastColumn="0" w:noHBand="0" w:noVBand="1"/>
      </w:tblPr>
      <w:tblGrid>
        <w:gridCol w:w="9639"/>
      </w:tblGrid>
      <w:tr w:rsidR="007F78A9" w:rsidRPr="004057D6" w14:paraId="3FBAA3BD" w14:textId="77777777" w:rsidTr="006E01BA">
        <w:trPr>
          <w:trHeight w:val="857"/>
        </w:trPr>
        <w:tc>
          <w:tcPr>
            <w:tcW w:w="9639" w:type="dxa"/>
            <w:tcBorders>
              <w:top w:val="nil"/>
              <w:left w:val="nil"/>
              <w:bottom w:val="nil"/>
              <w:right w:val="nil"/>
            </w:tcBorders>
            <w:shd w:val="clear" w:color="auto" w:fill="C9C9C9" w:themeFill="accent3" w:themeFillTint="99"/>
          </w:tcPr>
          <w:p w14:paraId="10705006" w14:textId="0EED301E" w:rsidR="007F78A9" w:rsidRPr="004057D6" w:rsidRDefault="007F78A9" w:rsidP="006E01BA">
            <w:pPr>
              <w:pStyle w:val="berschrift1"/>
              <w:spacing w:before="0" w:after="120"/>
              <w:jc w:val="center"/>
              <w:outlineLvl w:val="0"/>
              <w:rPr>
                <w:rFonts w:ascii="Segoe UI" w:hAnsi="Segoe UI" w:cs="Segoe UI"/>
                <w:sz w:val="22"/>
              </w:rPr>
            </w:pPr>
            <w:bookmarkStart w:id="5" w:name="_Toc94558560"/>
            <w:r w:rsidRPr="004057D6">
              <w:rPr>
                <w:rFonts w:ascii="Segoe UI" w:eastAsia="Times New Roman" w:hAnsi="Segoe UI" w:cs="Segoe UI"/>
                <w:b/>
                <w:bCs/>
                <w:color w:val="auto"/>
                <w:sz w:val="36"/>
                <w:szCs w:val="36"/>
              </w:rPr>
              <w:t>§ 4</w:t>
            </w:r>
            <w:r w:rsidRPr="004057D6">
              <w:rPr>
                <w:rFonts w:ascii="Segoe UI" w:eastAsia="Times New Roman" w:hAnsi="Segoe UI" w:cs="Segoe UI"/>
                <w:b/>
                <w:bCs/>
                <w:color w:val="auto"/>
                <w:sz w:val="36"/>
                <w:szCs w:val="36"/>
              </w:rPr>
              <w:br/>
              <w:t>Arbeitsweise</w:t>
            </w:r>
            <w:bookmarkEnd w:id="5"/>
          </w:p>
        </w:tc>
      </w:tr>
    </w:tbl>
    <w:p w14:paraId="5CF21873" w14:textId="4EA0D555" w:rsidR="009F76F3" w:rsidRPr="004057D6" w:rsidRDefault="009F76F3" w:rsidP="006E01BA">
      <w:pPr>
        <w:rPr>
          <w:rFonts w:ascii="Segoe UI" w:hAnsi="Segoe UI" w:cs="Segoe UI"/>
          <w:b/>
          <w:bCs/>
          <w:sz w:val="28"/>
          <w:szCs w:val="2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4B5984" w:rsidRPr="004057D6" w14:paraId="36D33F1E" w14:textId="77777777" w:rsidTr="00610825">
        <w:tc>
          <w:tcPr>
            <w:tcW w:w="9623" w:type="dxa"/>
            <w:shd w:val="clear" w:color="auto" w:fill="F2F2F2" w:themeFill="background1" w:themeFillShade="F2"/>
          </w:tcPr>
          <w:p w14:paraId="2EE8F434" w14:textId="77777777" w:rsidR="0081672D" w:rsidRPr="004057D6" w:rsidRDefault="0081672D" w:rsidP="00850A56">
            <w:pPr>
              <w:tabs>
                <w:tab w:val="left" w:pos="567"/>
              </w:tabs>
              <w:spacing w:before="240"/>
              <w:rPr>
                <w:rFonts w:ascii="Segoe UI" w:hAnsi="Segoe UI" w:cs="Segoe UI"/>
                <w:sz w:val="22"/>
              </w:rPr>
            </w:pPr>
            <w:r w:rsidRPr="004057D6">
              <w:rPr>
                <w:rFonts w:ascii="Segoe UI Historic" w:hAnsi="Segoe UI Historic" w:cs="Segoe UI Historic"/>
                <w:sz w:val="22"/>
              </w:rPr>
              <w:t>(</w:t>
            </w:r>
            <w:r w:rsidRPr="004057D6">
              <w:rPr>
                <w:rFonts w:ascii="Segoe UI" w:hAnsi="Segoe UI" w:cs="Segoe UI"/>
                <w:sz w:val="22"/>
              </w:rPr>
              <w:t>1) In der Regel tritt der Lenkungsausschuss mindestens zweimal im Jahr abwechselnd an verschiedenen Orten des Programmgebietes zusammen.</w:t>
            </w:r>
          </w:p>
          <w:p w14:paraId="39ED3A58" w14:textId="77777777" w:rsidR="0081672D" w:rsidRPr="004057D6" w:rsidRDefault="0081672D" w:rsidP="00850A56">
            <w:pPr>
              <w:tabs>
                <w:tab w:val="left" w:pos="567"/>
              </w:tabs>
              <w:spacing w:before="240"/>
              <w:rPr>
                <w:rFonts w:ascii="Segoe UI" w:hAnsi="Segoe UI" w:cs="Segoe UI"/>
                <w:sz w:val="22"/>
              </w:rPr>
            </w:pPr>
            <w:r w:rsidRPr="004057D6">
              <w:rPr>
                <w:rFonts w:ascii="Segoe UI" w:hAnsi="Segoe UI" w:cs="Segoe UI"/>
                <w:sz w:val="22"/>
              </w:rPr>
              <w:t xml:space="preserve">(2) Die Sitzungen sind nichtöffentlich und vertraulich. </w:t>
            </w:r>
          </w:p>
          <w:p w14:paraId="5CE4186F" w14:textId="77777777" w:rsidR="0081672D" w:rsidRPr="004057D6" w:rsidRDefault="0081672D" w:rsidP="00850A56">
            <w:pPr>
              <w:tabs>
                <w:tab w:val="left" w:pos="567"/>
              </w:tabs>
              <w:spacing w:before="240"/>
              <w:rPr>
                <w:rFonts w:ascii="Segoe UI" w:hAnsi="Segoe UI" w:cs="Segoe UI"/>
                <w:sz w:val="22"/>
              </w:rPr>
            </w:pPr>
            <w:r w:rsidRPr="004057D6">
              <w:rPr>
                <w:rFonts w:ascii="Segoe UI" w:hAnsi="Segoe UI" w:cs="Segoe UI"/>
                <w:sz w:val="22"/>
              </w:rPr>
              <w:t>(3)  Der Vorsitz legt die Tagesordnungen fest und beruft den Lenkungsausschuss ein. Anträge zur Tagesordnung sind grundsätzlich spätestens zwei Wochen vor dem Sitzungstermin beim Gemeinsamen Sekretariat einzureichen. In dringenden Fällen können vom Vorsitz Tagesordnungspunkte auch noch nach Ablauf der Frist festgelegt werden. Die Einladung an die Mitglieder des Lenkungsausschusses wird grundsätzlich vier Wochen vor Sitzungstermin übermittelt. Die Beratungsunterlagen sollen in der Regel zwei Wochen vor der Sitzung, spätestens aber eine Woche vor der Sitzung übersandt werden.</w:t>
            </w:r>
          </w:p>
          <w:p w14:paraId="358A4BB1" w14:textId="77777777" w:rsidR="0081672D" w:rsidRPr="004057D6" w:rsidRDefault="0081672D" w:rsidP="00850A56">
            <w:pPr>
              <w:tabs>
                <w:tab w:val="left" w:pos="567"/>
              </w:tabs>
              <w:spacing w:before="240"/>
              <w:rPr>
                <w:rFonts w:ascii="Segoe UI" w:hAnsi="Segoe UI" w:cs="Segoe UI"/>
                <w:sz w:val="22"/>
              </w:rPr>
            </w:pPr>
            <w:r w:rsidRPr="004057D6">
              <w:rPr>
                <w:rFonts w:ascii="Segoe UI" w:hAnsi="Segoe UI" w:cs="Segoe UI"/>
                <w:sz w:val="22"/>
              </w:rPr>
              <w:t xml:space="preserve"> (4) In Sonderfällen können durch den Vorsitz außerordentliche Sitzungen kurzfristig einberufen werden. Die besondere Dringlichkeit ist in der Einladung darzulegen.</w:t>
            </w:r>
          </w:p>
          <w:p w14:paraId="46975636" w14:textId="15869853" w:rsidR="004B5984" w:rsidRPr="004057D6" w:rsidRDefault="0081672D" w:rsidP="00287699">
            <w:pPr>
              <w:tabs>
                <w:tab w:val="left" w:pos="567"/>
              </w:tabs>
              <w:spacing w:before="240" w:after="120"/>
              <w:rPr>
                <w:rFonts w:ascii="Segoe UI" w:hAnsi="Segoe UI" w:cs="Segoe UI"/>
                <w:sz w:val="22"/>
                <w:szCs w:val="22"/>
              </w:rPr>
            </w:pPr>
            <w:r w:rsidRPr="004057D6">
              <w:rPr>
                <w:rFonts w:ascii="Segoe UI" w:hAnsi="Segoe UI" w:cs="Segoe UI"/>
                <w:sz w:val="22"/>
              </w:rPr>
              <w:lastRenderedPageBreak/>
              <w:t>(5) Notwendige Sitzungen des Lenkungsausschusses können auch ohne persönliche Anwesenheit der Mitglieder im Sitzungsraum durchgeführt werden, sofern eine Beratung und Beschlussfassung durch zeitgleiche Übertragung von Bild und Ton mittels geeigneter technischer Hilfsmittel, insbesondere in Form einer Videokonferenz, möglich ist.</w:t>
            </w:r>
          </w:p>
        </w:tc>
      </w:tr>
    </w:tbl>
    <w:p w14:paraId="5632C795" w14:textId="52059159" w:rsidR="00F05CD0" w:rsidRPr="004057D6" w:rsidRDefault="00F05CD0" w:rsidP="00850A56">
      <w:pPr>
        <w:overflowPunct/>
        <w:autoSpaceDE/>
        <w:autoSpaceDN/>
        <w:adjustRightInd/>
        <w:spacing w:before="240"/>
        <w:textAlignment w:val="auto"/>
        <w:rPr>
          <w:rFonts w:ascii="Segoe UI" w:hAnsi="Segoe UI" w:cs="Segoe UI"/>
          <w:sz w:val="22"/>
        </w:rPr>
      </w:pPr>
    </w:p>
    <w:tbl>
      <w:tblPr>
        <w:tblStyle w:val="Tabellenraster"/>
        <w:tblW w:w="9639" w:type="dxa"/>
        <w:tblInd w:w="-572" w:type="dxa"/>
        <w:shd w:val="clear" w:color="auto" w:fill="789ECD"/>
        <w:tblLook w:val="04A0" w:firstRow="1" w:lastRow="0" w:firstColumn="1" w:lastColumn="0" w:noHBand="0" w:noVBand="1"/>
      </w:tblPr>
      <w:tblGrid>
        <w:gridCol w:w="9639"/>
      </w:tblGrid>
      <w:tr w:rsidR="007F78A9" w:rsidRPr="004057D6" w14:paraId="02E4E581" w14:textId="77777777" w:rsidTr="006E01BA">
        <w:trPr>
          <w:trHeight w:val="857"/>
        </w:trPr>
        <w:tc>
          <w:tcPr>
            <w:tcW w:w="9639" w:type="dxa"/>
            <w:tcBorders>
              <w:top w:val="nil"/>
              <w:left w:val="nil"/>
              <w:bottom w:val="nil"/>
              <w:right w:val="nil"/>
            </w:tcBorders>
            <w:shd w:val="clear" w:color="auto" w:fill="C9C9C9" w:themeFill="accent3" w:themeFillTint="99"/>
          </w:tcPr>
          <w:p w14:paraId="562274BA" w14:textId="651D834F" w:rsidR="007F78A9" w:rsidRPr="004057D6" w:rsidRDefault="007F78A9" w:rsidP="006E01BA">
            <w:pPr>
              <w:pStyle w:val="berschrift1"/>
              <w:spacing w:before="0" w:after="120"/>
              <w:jc w:val="center"/>
              <w:outlineLvl w:val="0"/>
              <w:rPr>
                <w:rFonts w:ascii="Segoe UI" w:hAnsi="Segoe UI" w:cs="Segoe UI"/>
                <w:sz w:val="22"/>
              </w:rPr>
            </w:pPr>
            <w:bookmarkStart w:id="6" w:name="_Toc94558561"/>
            <w:r w:rsidRPr="004057D6">
              <w:rPr>
                <w:rFonts w:ascii="Segoe UI" w:eastAsia="Times New Roman" w:hAnsi="Segoe UI" w:cs="Segoe UI"/>
                <w:b/>
                <w:bCs/>
                <w:color w:val="auto"/>
                <w:sz w:val="36"/>
                <w:szCs w:val="36"/>
              </w:rPr>
              <w:t xml:space="preserve">§ </w:t>
            </w:r>
            <w:r w:rsidR="00231B7C" w:rsidRPr="004057D6">
              <w:rPr>
                <w:rFonts w:ascii="Segoe UI" w:eastAsia="Times New Roman" w:hAnsi="Segoe UI" w:cs="Segoe UI"/>
                <w:b/>
                <w:bCs/>
                <w:color w:val="auto"/>
                <w:sz w:val="36"/>
                <w:szCs w:val="36"/>
              </w:rPr>
              <w:t>5</w:t>
            </w:r>
            <w:r w:rsidRPr="004057D6">
              <w:rPr>
                <w:rFonts w:ascii="Segoe UI" w:eastAsia="Times New Roman" w:hAnsi="Segoe UI" w:cs="Segoe UI"/>
                <w:b/>
                <w:bCs/>
                <w:color w:val="auto"/>
                <w:sz w:val="36"/>
                <w:szCs w:val="36"/>
              </w:rPr>
              <w:br/>
            </w:r>
            <w:r w:rsidR="00D21526" w:rsidRPr="004057D6">
              <w:rPr>
                <w:rFonts w:ascii="Segoe UI" w:eastAsia="Times New Roman" w:hAnsi="Segoe UI" w:cs="Segoe UI"/>
                <w:b/>
                <w:bCs/>
                <w:color w:val="auto"/>
                <w:sz w:val="36"/>
                <w:szCs w:val="36"/>
              </w:rPr>
              <w:t>Beschlussfassung</w:t>
            </w:r>
            <w:bookmarkEnd w:id="6"/>
          </w:p>
        </w:tc>
      </w:tr>
    </w:tbl>
    <w:p w14:paraId="57B502A1" w14:textId="77777777" w:rsidR="007F78A9" w:rsidRPr="004057D6" w:rsidRDefault="007F78A9" w:rsidP="006E01BA">
      <w:pPr>
        <w:overflowPunct/>
        <w:autoSpaceDE/>
        <w:autoSpaceDN/>
        <w:adjustRightInd/>
        <w:textAlignment w:val="auto"/>
        <w:rPr>
          <w:rFonts w:ascii="Segoe UI" w:hAnsi="Segoe UI" w:cs="Segoe UI"/>
          <w:sz w:val="20"/>
        </w:rPr>
      </w:pPr>
    </w:p>
    <w:tbl>
      <w:tblPr>
        <w:tblStyle w:val="Tabellenraster"/>
        <w:tblW w:w="96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F808BA" w:rsidRPr="004057D6" w14:paraId="2CB5D76B" w14:textId="77777777" w:rsidTr="00D21526">
        <w:tc>
          <w:tcPr>
            <w:tcW w:w="9623" w:type="dxa"/>
            <w:shd w:val="clear" w:color="auto" w:fill="F2F2F2" w:themeFill="background1" w:themeFillShade="F2"/>
          </w:tcPr>
          <w:p w14:paraId="7C3CF813" w14:textId="66281842" w:rsidR="00D21526" w:rsidRPr="004057D6" w:rsidRDefault="00231B7C" w:rsidP="006E01BA">
            <w:pPr>
              <w:tabs>
                <w:tab w:val="left" w:pos="567"/>
              </w:tabs>
              <w:spacing w:before="240"/>
              <w:rPr>
                <w:rFonts w:ascii="Segoe UI" w:hAnsi="Segoe UI" w:cs="Segoe UI"/>
                <w:sz w:val="22"/>
              </w:rPr>
            </w:pPr>
            <w:r w:rsidRPr="004057D6">
              <w:rPr>
                <w:rFonts w:ascii="Segoe UI" w:hAnsi="Segoe UI" w:cs="Segoe UI"/>
                <w:sz w:val="22"/>
              </w:rPr>
              <w:t>(</w:t>
            </w:r>
            <w:r w:rsidR="00D21526" w:rsidRPr="004057D6">
              <w:rPr>
                <w:rFonts w:ascii="Segoe UI" w:hAnsi="Segoe UI" w:cs="Segoe UI"/>
                <w:sz w:val="22"/>
              </w:rPr>
              <w:t xml:space="preserve">1) Beschlüsse des Lenkungsausschusses werden mit einfacher Mehrheit der anwesenden stimmberechtigten Mitglieder gefasst. Enthaltungen sind möglich. Skizzen und Anträge, die Schweizer- </w:t>
            </w:r>
            <w:proofErr w:type="spellStart"/>
            <w:r w:rsidR="00D21526" w:rsidRPr="004057D6">
              <w:rPr>
                <w:rFonts w:ascii="Segoe UI" w:hAnsi="Segoe UI" w:cs="Segoe UI"/>
                <w:sz w:val="22"/>
              </w:rPr>
              <w:t>Interreg</w:t>
            </w:r>
            <w:proofErr w:type="spellEnd"/>
            <w:r w:rsidR="00D21526" w:rsidRPr="004057D6">
              <w:rPr>
                <w:rFonts w:ascii="Segoe UI" w:hAnsi="Segoe UI" w:cs="Segoe UI"/>
                <w:sz w:val="22"/>
              </w:rPr>
              <w:t xml:space="preserve">-Fördermittel beanspruchen, bedürfen der Zustimmung der Netzwerkstelle Ostschweiz. Sofern bei Skizzen mit Schweizer Beteiligung eine Zustimmung von Seiten der Netzwerkstelle Ostschweiz nicht erfolgt, ist zu prüfen, ob das grenzüberschreitende Projekt auch ohne Unterstützung durch Schweizer- </w:t>
            </w:r>
            <w:proofErr w:type="spellStart"/>
            <w:r w:rsidR="00D21526" w:rsidRPr="004057D6">
              <w:rPr>
                <w:rFonts w:ascii="Segoe UI" w:hAnsi="Segoe UI" w:cs="Segoe UI"/>
                <w:sz w:val="22"/>
              </w:rPr>
              <w:t>Interreg</w:t>
            </w:r>
            <w:proofErr w:type="spellEnd"/>
            <w:r w:rsidR="00D21526" w:rsidRPr="004057D6">
              <w:rPr>
                <w:rFonts w:ascii="Segoe UI" w:hAnsi="Segoe UI" w:cs="Segoe UI"/>
                <w:sz w:val="22"/>
              </w:rPr>
              <w:t>-Fördermittel noch sinnvoll umgesetzt werden kann. Skizzen und Anträge, die eine Liechtensteiner Förderung beanspruchen, bedürfen der Zustimmung der Anlauf- und Informationsstelle des Fürstentums Liechtenstein. Sofern bei Skizzen mit Liechtensteiner Beteiligung eine Zustimmung von Seiten der Anlauf- und Informationsstelle des Fürstentums Liechtenstein nicht erfolgt, ist zu prüfen, ob das grenzüberschreitende Projekt auch ohne Unterstützung durch eine Liechtensteiner Förderung noch sinnvoll umgesetzt werden kann. Skizzen und Anträge, die den EU-Fördertopf belasten, bedürfen der Zustimmung mindestens eines EU-Partners.</w:t>
            </w:r>
          </w:p>
          <w:p w14:paraId="4A05E39E" w14:textId="77777777" w:rsidR="00D21526" w:rsidRPr="004057D6" w:rsidRDefault="00D21526" w:rsidP="006E01BA">
            <w:pPr>
              <w:tabs>
                <w:tab w:val="left" w:pos="567"/>
              </w:tabs>
              <w:spacing w:before="240"/>
              <w:rPr>
                <w:rFonts w:ascii="Segoe UI" w:hAnsi="Segoe UI" w:cs="Segoe UI"/>
                <w:sz w:val="22"/>
              </w:rPr>
            </w:pPr>
            <w:r w:rsidRPr="004057D6">
              <w:rPr>
                <w:rFonts w:ascii="Segoe UI" w:hAnsi="Segoe UI" w:cs="Segoe UI"/>
                <w:sz w:val="22"/>
              </w:rPr>
              <w:t>(2) Wird das Vorhaben ganz oder teilweise außerhalb des Programmgebiets durchgeführt, so muss die Auswahl dieses Vorhabens gemäß Artikel 22 der Verordnung (EU) 2021/1059 von der Verwaltungsbehörde ausdrücklich genehmigt werden.</w:t>
            </w:r>
          </w:p>
          <w:p w14:paraId="5EFA01D5" w14:textId="77777777" w:rsidR="00D21526" w:rsidRPr="004057D6" w:rsidRDefault="00D21526" w:rsidP="006E01BA">
            <w:pPr>
              <w:tabs>
                <w:tab w:val="left" w:pos="567"/>
              </w:tabs>
              <w:spacing w:before="240"/>
              <w:rPr>
                <w:rFonts w:ascii="Segoe UI" w:hAnsi="Segoe UI" w:cs="Segoe UI"/>
                <w:sz w:val="22"/>
              </w:rPr>
            </w:pPr>
            <w:r w:rsidRPr="004057D6">
              <w:rPr>
                <w:rFonts w:ascii="Segoe UI" w:hAnsi="Segoe UI" w:cs="Segoe UI"/>
                <w:sz w:val="22"/>
              </w:rPr>
              <w:t>(3) Der Vorsitz des Lenkungsausschusses kann im Einzelfall ein schriftliches Verfahren (Umlaufbeschluss) wählen. Der Entscheidungsvorschlag ist mit einer ausreichenden Begründung sowie mit einem Datum zu versehen, bis zu welchem sich die Mitglieder des Ausschusses äußern können. Die Frist für das schriftliche Verfahren soll in der Regel zwei Wochen betragen. Die Zustimmung oder Ablehnung ist in schriftlicher Form abzugeben. Geht innerhalb der gesetzten Frist keine Rückäußerung ein, wird Einverständnis angenommen. Nach Abschluss des Verfahrens informiert der Vorsitz die Mitglieder des Ausschusses über das Ergebnis.</w:t>
            </w:r>
          </w:p>
          <w:p w14:paraId="382535A0" w14:textId="77777777" w:rsidR="00D21526" w:rsidRPr="004057D6" w:rsidRDefault="00D21526" w:rsidP="006E01BA">
            <w:pPr>
              <w:tabs>
                <w:tab w:val="left" w:pos="567"/>
              </w:tabs>
              <w:spacing w:before="240" w:after="120"/>
              <w:rPr>
                <w:rFonts w:ascii="Segoe UI" w:hAnsi="Segoe UI" w:cs="Segoe UI"/>
                <w:sz w:val="22"/>
              </w:rPr>
            </w:pPr>
            <w:r w:rsidRPr="004057D6">
              <w:rPr>
                <w:rFonts w:ascii="Segoe UI" w:hAnsi="Segoe UI" w:cs="Segoe UI"/>
                <w:sz w:val="22"/>
              </w:rPr>
              <w:t>(4) Über alle Sitzungen werden in Verantwortung des/der Vorsitzenden Ergebnisniederschriften angefertigt und grundsätzlich innerhalb von vier Wochen nach der Sitzung den Mitgliedern zugeleitet. Vor der offiziellen Versendung des Protokolls erfolgt eine informelle Abstimmung unter den stimmberechtigten Mitgliedern des Lenkungsausschusses. Dem akkordierten Protokoll kann innerhalb von vier Wochen nach Zustellung gegenüber dem/der Vorsitzenden des Lenkungsausschusses schriftlich widersprochen werden; andernfalls gilt es als genehmigt.</w:t>
            </w:r>
          </w:p>
          <w:p w14:paraId="22302987" w14:textId="1F5111EF" w:rsidR="005B3E67" w:rsidRPr="004057D6" w:rsidRDefault="00D21526" w:rsidP="006E01BA">
            <w:pPr>
              <w:tabs>
                <w:tab w:val="left" w:pos="567"/>
              </w:tabs>
              <w:spacing w:before="240" w:after="120"/>
              <w:rPr>
                <w:rFonts w:ascii="Segoe UI" w:hAnsi="Segoe UI" w:cs="Segoe UI"/>
                <w:sz w:val="22"/>
              </w:rPr>
            </w:pPr>
            <w:r w:rsidRPr="004057D6">
              <w:rPr>
                <w:rFonts w:ascii="Segoe UI" w:hAnsi="Segoe UI" w:cs="Segoe UI"/>
                <w:sz w:val="22"/>
              </w:rPr>
              <w:t xml:space="preserve">(5) Kann ein Beschluss wegen Bedenken der Verwaltungsbehörde gegen dessen Rechtmäßigkeit nicht gefasst werden, so wird eine Klärung durch die Verwaltungsbehörde in Zusammenarbeit mit den Programmpartnern und gegebenenfalls den Finanzkontrollbehörden, der Europäischen Kommission und/oder dem Schweizer Bund herbeigeführt. Nach Abschluss der Abklärungen ist eine erneute Befassung im Lenkungsausschuss möglich. </w:t>
            </w:r>
          </w:p>
        </w:tc>
      </w:tr>
    </w:tbl>
    <w:p w14:paraId="1A22C200" w14:textId="58278F2B" w:rsidR="007F78A9" w:rsidRPr="004057D6" w:rsidRDefault="007F78A9" w:rsidP="00850A56">
      <w:pPr>
        <w:spacing w:before="240"/>
        <w:rPr>
          <w:rFonts w:ascii="Segoe UI" w:hAnsi="Segoe UI" w:cs="Segoe UI"/>
          <w:sz w:val="22"/>
        </w:rPr>
      </w:pPr>
    </w:p>
    <w:tbl>
      <w:tblPr>
        <w:tblStyle w:val="Tabellenraster"/>
        <w:tblW w:w="9639" w:type="dxa"/>
        <w:tblInd w:w="-572" w:type="dxa"/>
        <w:shd w:val="clear" w:color="auto" w:fill="789ECD"/>
        <w:tblLook w:val="04A0" w:firstRow="1" w:lastRow="0" w:firstColumn="1" w:lastColumn="0" w:noHBand="0" w:noVBand="1"/>
      </w:tblPr>
      <w:tblGrid>
        <w:gridCol w:w="9639"/>
      </w:tblGrid>
      <w:tr w:rsidR="005B3E67" w:rsidRPr="004057D6" w14:paraId="0C5C035C" w14:textId="77777777" w:rsidTr="006E01BA">
        <w:trPr>
          <w:trHeight w:val="857"/>
        </w:trPr>
        <w:tc>
          <w:tcPr>
            <w:tcW w:w="9639" w:type="dxa"/>
            <w:tcBorders>
              <w:top w:val="nil"/>
              <w:left w:val="nil"/>
              <w:bottom w:val="nil"/>
              <w:right w:val="nil"/>
            </w:tcBorders>
            <w:shd w:val="clear" w:color="auto" w:fill="C9C9C9" w:themeFill="accent3" w:themeFillTint="99"/>
          </w:tcPr>
          <w:p w14:paraId="6D2DAD3E" w14:textId="53C8B17E" w:rsidR="005B3E67" w:rsidRPr="004057D6" w:rsidRDefault="005B3E67" w:rsidP="00287699">
            <w:pPr>
              <w:pStyle w:val="berschrift1"/>
              <w:spacing w:before="120" w:after="120"/>
              <w:jc w:val="center"/>
              <w:outlineLvl w:val="0"/>
              <w:rPr>
                <w:rFonts w:ascii="Segoe UI" w:hAnsi="Segoe UI" w:cs="Segoe UI"/>
                <w:sz w:val="22"/>
              </w:rPr>
            </w:pPr>
            <w:bookmarkStart w:id="7" w:name="_Toc94558562"/>
            <w:r w:rsidRPr="004057D6">
              <w:rPr>
                <w:rFonts w:ascii="Segoe UI" w:eastAsia="Times New Roman" w:hAnsi="Segoe UI" w:cs="Segoe UI"/>
                <w:b/>
                <w:bCs/>
                <w:color w:val="auto"/>
                <w:sz w:val="36"/>
                <w:szCs w:val="36"/>
              </w:rPr>
              <w:t>§ 6</w:t>
            </w:r>
            <w:r w:rsidRPr="004057D6">
              <w:rPr>
                <w:rFonts w:ascii="Segoe UI" w:eastAsia="Times New Roman" w:hAnsi="Segoe UI" w:cs="Segoe UI"/>
                <w:b/>
                <w:bCs/>
                <w:color w:val="auto"/>
                <w:sz w:val="36"/>
                <w:szCs w:val="36"/>
              </w:rPr>
              <w:br/>
              <w:t>Änderung der Geschäftsordnung</w:t>
            </w:r>
            <w:bookmarkEnd w:id="7"/>
          </w:p>
        </w:tc>
      </w:tr>
    </w:tbl>
    <w:p w14:paraId="3695CBC7" w14:textId="2BB76A62" w:rsidR="007F78A9" w:rsidRPr="004057D6" w:rsidRDefault="007F78A9" w:rsidP="006E01BA">
      <w:pPr>
        <w:rPr>
          <w:rFonts w:ascii="Segoe UI" w:hAnsi="Segoe UI" w:cs="Segoe UI"/>
          <w:sz w:val="20"/>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0649A9" w:rsidRPr="004057D6" w14:paraId="7B6FC575" w14:textId="77777777" w:rsidTr="007B54E6">
        <w:tc>
          <w:tcPr>
            <w:tcW w:w="9623" w:type="dxa"/>
            <w:shd w:val="clear" w:color="auto" w:fill="F2F2F2" w:themeFill="background1" w:themeFillShade="F2"/>
          </w:tcPr>
          <w:p w14:paraId="06EADEBE" w14:textId="6DB30D41" w:rsidR="000649A9" w:rsidRPr="004057D6" w:rsidRDefault="005B3E67" w:rsidP="006E01BA">
            <w:pPr>
              <w:tabs>
                <w:tab w:val="left" w:pos="567"/>
              </w:tabs>
              <w:spacing w:after="120"/>
              <w:rPr>
                <w:sz w:val="22"/>
              </w:rPr>
            </w:pPr>
            <w:r w:rsidRPr="004057D6">
              <w:rPr>
                <w:rFonts w:ascii="Segoe UI" w:hAnsi="Segoe UI" w:cs="Segoe UI"/>
                <w:sz w:val="22"/>
              </w:rPr>
              <w:t xml:space="preserve">Der Lenkungsausschuss kann Änderungen dieser Geschäftsordnung nur einstimmig beschließen. Die geänderte Fassung ist allen Mitgliedern schriftlich mitzuteilen. Dem Begleitenden Ausschuss wird hierüber berichtet. </w:t>
            </w:r>
          </w:p>
        </w:tc>
      </w:tr>
    </w:tbl>
    <w:p w14:paraId="10C48491" w14:textId="77777777" w:rsidR="007F78A9" w:rsidRPr="004057D6" w:rsidRDefault="007F78A9" w:rsidP="00850A56">
      <w:pPr>
        <w:spacing w:before="240"/>
        <w:rPr>
          <w:rFonts w:ascii="Segoe UI" w:hAnsi="Segoe UI" w:cs="Segoe UI"/>
          <w:sz w:val="22"/>
        </w:rPr>
      </w:pPr>
    </w:p>
    <w:tbl>
      <w:tblPr>
        <w:tblStyle w:val="Tabellenraster"/>
        <w:tblW w:w="9639" w:type="dxa"/>
        <w:tblInd w:w="-572" w:type="dxa"/>
        <w:shd w:val="clear" w:color="auto" w:fill="789ECD"/>
        <w:tblLook w:val="04A0" w:firstRow="1" w:lastRow="0" w:firstColumn="1" w:lastColumn="0" w:noHBand="0" w:noVBand="1"/>
      </w:tblPr>
      <w:tblGrid>
        <w:gridCol w:w="9639"/>
      </w:tblGrid>
      <w:tr w:rsidR="007F78A9" w:rsidRPr="004057D6" w14:paraId="2C4B6AD7" w14:textId="77777777" w:rsidTr="006E01BA">
        <w:trPr>
          <w:trHeight w:val="857"/>
        </w:trPr>
        <w:tc>
          <w:tcPr>
            <w:tcW w:w="9639" w:type="dxa"/>
            <w:tcBorders>
              <w:top w:val="nil"/>
              <w:left w:val="nil"/>
              <w:bottom w:val="nil"/>
              <w:right w:val="nil"/>
            </w:tcBorders>
            <w:shd w:val="clear" w:color="auto" w:fill="C9C9C9" w:themeFill="accent3" w:themeFillTint="99"/>
          </w:tcPr>
          <w:p w14:paraId="4E018B57" w14:textId="08F8EF8E" w:rsidR="007F78A9" w:rsidRPr="004057D6" w:rsidRDefault="007F78A9" w:rsidP="00287699">
            <w:pPr>
              <w:pStyle w:val="berschrift1"/>
              <w:spacing w:before="120" w:after="120"/>
              <w:jc w:val="center"/>
              <w:outlineLvl w:val="0"/>
              <w:rPr>
                <w:rFonts w:ascii="Segoe UI" w:hAnsi="Segoe UI" w:cs="Segoe UI"/>
                <w:sz w:val="22"/>
              </w:rPr>
            </w:pPr>
            <w:bookmarkStart w:id="8" w:name="_Toc94558563"/>
            <w:r w:rsidRPr="004057D6">
              <w:rPr>
                <w:rFonts w:ascii="Segoe UI" w:eastAsia="Times New Roman" w:hAnsi="Segoe UI" w:cs="Segoe UI"/>
                <w:b/>
                <w:bCs/>
                <w:color w:val="auto"/>
                <w:sz w:val="36"/>
                <w:szCs w:val="36"/>
              </w:rPr>
              <w:lastRenderedPageBreak/>
              <w:t xml:space="preserve">§ </w:t>
            </w:r>
            <w:r w:rsidR="00231B7C" w:rsidRPr="004057D6">
              <w:rPr>
                <w:rFonts w:ascii="Segoe UI" w:eastAsia="Times New Roman" w:hAnsi="Segoe UI" w:cs="Segoe UI"/>
                <w:b/>
                <w:bCs/>
                <w:color w:val="auto"/>
                <w:sz w:val="36"/>
                <w:szCs w:val="36"/>
              </w:rPr>
              <w:t>7</w:t>
            </w:r>
            <w:r w:rsidRPr="004057D6">
              <w:rPr>
                <w:rFonts w:ascii="Segoe UI" w:eastAsia="Times New Roman" w:hAnsi="Segoe UI" w:cs="Segoe UI"/>
                <w:b/>
                <w:bCs/>
                <w:color w:val="auto"/>
                <w:sz w:val="36"/>
                <w:szCs w:val="36"/>
              </w:rPr>
              <w:br/>
            </w:r>
            <w:r w:rsidR="00231B7C" w:rsidRPr="004057D6">
              <w:rPr>
                <w:rFonts w:ascii="Segoe UI" w:eastAsia="Times New Roman" w:hAnsi="Segoe UI" w:cs="Segoe UI"/>
                <w:b/>
                <w:bCs/>
                <w:color w:val="auto"/>
                <w:sz w:val="36"/>
                <w:szCs w:val="36"/>
              </w:rPr>
              <w:t>Inkrafttreten und Geltungsdauer</w:t>
            </w:r>
            <w:bookmarkEnd w:id="8"/>
          </w:p>
        </w:tc>
      </w:tr>
    </w:tbl>
    <w:p w14:paraId="206477F6" w14:textId="495AEBFD" w:rsidR="007F78A9" w:rsidRPr="004057D6" w:rsidRDefault="007F78A9" w:rsidP="006E01BA">
      <w:pPr>
        <w:rPr>
          <w:rFonts w:ascii="Segoe UI" w:hAnsi="Segoe UI" w:cs="Segoe UI"/>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0649A9" w:rsidRPr="004057D6" w14:paraId="67E5DE2C" w14:textId="77777777" w:rsidTr="007B54E6">
        <w:tc>
          <w:tcPr>
            <w:tcW w:w="9623" w:type="dxa"/>
            <w:shd w:val="clear" w:color="auto" w:fill="F2F2F2" w:themeFill="background1" w:themeFillShade="F2"/>
          </w:tcPr>
          <w:p w14:paraId="434E59CE" w14:textId="02E662FB" w:rsidR="005B3E67" w:rsidRPr="004057D6" w:rsidRDefault="005B3E67" w:rsidP="006E01BA">
            <w:pPr>
              <w:tabs>
                <w:tab w:val="left" w:pos="567"/>
              </w:tabs>
              <w:spacing w:after="120"/>
              <w:rPr>
                <w:rFonts w:ascii="Segoe UI" w:hAnsi="Segoe UI" w:cs="Segoe UI"/>
                <w:sz w:val="22"/>
              </w:rPr>
            </w:pPr>
            <w:r w:rsidRPr="004057D6">
              <w:rPr>
                <w:rFonts w:ascii="Segoe UI" w:hAnsi="Segoe UI" w:cs="Segoe UI"/>
                <w:sz w:val="22"/>
              </w:rPr>
              <w:t>(1) Der Lenkungsausschuss hat seine Tätigkeit zum XX. XX.2022 aufgenommen und sich eine Geschäftsordnung gegeben.</w:t>
            </w:r>
          </w:p>
          <w:p w14:paraId="2B72A30C" w14:textId="1F2FA470" w:rsidR="005B3E67" w:rsidRPr="004057D6" w:rsidRDefault="005B3E67" w:rsidP="006E01BA">
            <w:pPr>
              <w:tabs>
                <w:tab w:val="left" w:pos="567"/>
              </w:tabs>
              <w:spacing w:after="120"/>
              <w:rPr>
                <w:rFonts w:ascii="Segoe UI" w:hAnsi="Segoe UI" w:cs="Segoe UI"/>
                <w:sz w:val="22"/>
              </w:rPr>
            </w:pPr>
            <w:r w:rsidRPr="004057D6">
              <w:rPr>
                <w:rFonts w:ascii="Segoe UI" w:hAnsi="Segoe UI" w:cs="Segoe UI"/>
                <w:sz w:val="22"/>
              </w:rPr>
              <w:t>(2) Die Beendigung der Tätigkeit des Lenkungsausschusses bedarf eines formellen Beschlusses zur Auflösung desselben.</w:t>
            </w:r>
          </w:p>
        </w:tc>
      </w:tr>
    </w:tbl>
    <w:p w14:paraId="6ADA975E" w14:textId="01C40D52" w:rsidR="008F7CF5" w:rsidRPr="004057D6" w:rsidRDefault="008F7CF5" w:rsidP="00850A56">
      <w:pPr>
        <w:spacing w:before="240"/>
        <w:rPr>
          <w:rFonts w:ascii="Segoe UI" w:hAnsi="Segoe UI" w:cs="Segoe UI"/>
        </w:rPr>
      </w:pPr>
    </w:p>
    <w:p w14:paraId="593FB1D8" w14:textId="77777777" w:rsidR="00287699" w:rsidRPr="004057D6" w:rsidRDefault="00287699" w:rsidP="00850A56">
      <w:pPr>
        <w:spacing w:before="240"/>
        <w:rPr>
          <w:rFonts w:ascii="Segoe UI" w:hAnsi="Segoe UI" w:cs="Segoe UI"/>
        </w:rPr>
      </w:pPr>
    </w:p>
    <w:p w14:paraId="4BEF9C25" w14:textId="77777777" w:rsidR="00F94265" w:rsidRPr="00F94265" w:rsidRDefault="00F94265" w:rsidP="00850A56">
      <w:pPr>
        <w:spacing w:before="240"/>
        <w:jc w:val="center"/>
        <w:outlineLvl w:val="0"/>
        <w:rPr>
          <w:rFonts w:ascii="Segoe UI" w:hAnsi="Segoe UI" w:cs="Segoe UI"/>
          <w:sz w:val="22"/>
        </w:rPr>
      </w:pPr>
      <w:bookmarkStart w:id="9" w:name="_Toc94544807"/>
      <w:bookmarkStart w:id="10" w:name="_Toc94558564"/>
      <w:r w:rsidRPr="004057D6">
        <w:rPr>
          <w:rFonts w:ascii="Segoe UI" w:hAnsi="Segoe UI" w:cs="Segoe UI"/>
          <w:sz w:val="22"/>
        </w:rPr>
        <w:t>gez. Miriam Reich, Verwaltungsbehörde</w:t>
      </w:r>
      <w:bookmarkEnd w:id="9"/>
      <w:bookmarkEnd w:id="10"/>
    </w:p>
    <w:sectPr w:rsidR="00F94265" w:rsidRPr="00F94265" w:rsidSect="00861F4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955C" w14:textId="77777777" w:rsidR="00A220DD" w:rsidRDefault="00A220DD" w:rsidP="000649A9">
      <w:r>
        <w:separator/>
      </w:r>
    </w:p>
  </w:endnote>
  <w:endnote w:type="continuationSeparator" w:id="0">
    <w:p w14:paraId="4105BC0A" w14:textId="77777777" w:rsidR="00A220DD" w:rsidRDefault="00A220DD" w:rsidP="0006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73123423"/>
      <w:docPartObj>
        <w:docPartGallery w:val="Page Numbers (Bottom of Page)"/>
        <w:docPartUnique/>
      </w:docPartObj>
    </w:sdtPr>
    <w:sdtEndPr>
      <w:rPr>
        <w:rStyle w:val="Seitenzahl"/>
      </w:rPr>
    </w:sdtEndPr>
    <w:sdtContent>
      <w:p w14:paraId="10BE6001" w14:textId="2AE58D94" w:rsidR="002377DB" w:rsidRDefault="002377DB" w:rsidP="002A41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CD7B52" w14:textId="77777777" w:rsidR="002377DB" w:rsidRDefault="002377DB" w:rsidP="00CC4E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69498709"/>
      <w:docPartObj>
        <w:docPartGallery w:val="Page Numbers (Bottom of Page)"/>
        <w:docPartUnique/>
      </w:docPartObj>
    </w:sdtPr>
    <w:sdtEndPr>
      <w:rPr>
        <w:rStyle w:val="Seitenzahl"/>
      </w:rPr>
    </w:sdtEndPr>
    <w:sdtContent>
      <w:p w14:paraId="4202354D" w14:textId="447BE5DA" w:rsidR="002377DB" w:rsidRDefault="002377DB" w:rsidP="002A41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428C4">
          <w:rPr>
            <w:rStyle w:val="Seitenzahl"/>
            <w:noProof/>
          </w:rPr>
          <w:t>2</w:t>
        </w:r>
        <w:r>
          <w:rPr>
            <w:rStyle w:val="Seitenzahl"/>
          </w:rPr>
          <w:fldChar w:fldCharType="end"/>
        </w:r>
      </w:p>
    </w:sdtContent>
  </w:sdt>
  <w:p w14:paraId="2C3D86E1" w14:textId="77777777" w:rsidR="002377DB" w:rsidRDefault="002377DB" w:rsidP="00CC4E9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EB68" w14:textId="77777777" w:rsidR="00E428C4" w:rsidRDefault="00E42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562A" w14:textId="77777777" w:rsidR="00A220DD" w:rsidRDefault="00A220DD" w:rsidP="000649A9">
      <w:r>
        <w:separator/>
      </w:r>
    </w:p>
  </w:footnote>
  <w:footnote w:type="continuationSeparator" w:id="0">
    <w:p w14:paraId="7D97B360" w14:textId="77777777" w:rsidR="00A220DD" w:rsidRDefault="00A220DD" w:rsidP="0006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90CE" w14:textId="77777777" w:rsidR="00E428C4" w:rsidRDefault="00E42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8412" w14:textId="57F85061" w:rsidR="002377DB" w:rsidRDefault="007615BB" w:rsidP="007A1F96">
    <w:pPr>
      <w:pStyle w:val="Kopfzeile"/>
      <w:jc w:val="right"/>
    </w:pPr>
    <w:r>
      <w:t xml:space="preserve">     </w:t>
    </w:r>
    <w:r>
      <w:rPr>
        <w:noProof/>
      </w:rPr>
      <w:drawing>
        <wp:inline distT="0" distB="0" distL="0" distR="0" wp14:anchorId="6E784662" wp14:editId="004BA39A">
          <wp:extent cx="4311420" cy="581609"/>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15087" cy="582104"/>
                  </a:xfrm>
                  <a:prstGeom prst="rect">
                    <a:avLst/>
                  </a:prstGeom>
                </pic:spPr>
              </pic:pic>
            </a:graphicData>
          </a:graphic>
        </wp:inline>
      </w:drawing>
    </w:r>
  </w:p>
  <w:p w14:paraId="6C306AFC" w14:textId="77777777" w:rsidR="00FF2679" w:rsidRDefault="00FF2679" w:rsidP="007A1F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3FFC" w14:textId="77777777" w:rsidR="00E428C4" w:rsidRDefault="00E42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281"/>
    <w:multiLevelType w:val="hybridMultilevel"/>
    <w:tmpl w:val="1BACE046"/>
    <w:lvl w:ilvl="0" w:tplc="0407000B">
      <w:start w:val="1"/>
      <w:numFmt w:val="bullet"/>
      <w:lvlText w:val=""/>
      <w:lvlJc w:val="left"/>
      <w:pPr>
        <w:ind w:left="720" w:hanging="360"/>
      </w:pPr>
      <w:rPr>
        <w:rFonts w:ascii="Wingdings" w:hAnsi="Wingdings" w:hint="default"/>
        <w:b/>
        <w:i w:val="0"/>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067663"/>
    <w:multiLevelType w:val="hybridMultilevel"/>
    <w:tmpl w:val="C1BCEA70"/>
    <w:lvl w:ilvl="0" w:tplc="0407000B">
      <w:start w:val="1"/>
      <w:numFmt w:val="bullet"/>
      <w:lvlText w:val=""/>
      <w:lvlJc w:val="left"/>
      <w:pPr>
        <w:ind w:left="720" w:hanging="360"/>
      </w:pPr>
      <w:rPr>
        <w:rFonts w:ascii="Wingdings" w:hAnsi="Wingdings" w:hint="default"/>
        <w:b/>
        <w:i w:val="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010B4"/>
    <w:multiLevelType w:val="hybridMultilevel"/>
    <w:tmpl w:val="0EBA3C7A"/>
    <w:lvl w:ilvl="0" w:tplc="0407000B">
      <w:start w:val="1"/>
      <w:numFmt w:val="bullet"/>
      <w:lvlText w:val=""/>
      <w:lvlJc w:val="left"/>
      <w:pPr>
        <w:ind w:left="720" w:hanging="360"/>
      </w:pPr>
      <w:rPr>
        <w:rFonts w:ascii="Wingdings" w:hAnsi="Wingdings" w:hint="default"/>
        <w:b/>
        <w:i w:val="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B6F17"/>
    <w:multiLevelType w:val="hybridMultilevel"/>
    <w:tmpl w:val="40240840"/>
    <w:lvl w:ilvl="0" w:tplc="0407000B">
      <w:start w:val="1"/>
      <w:numFmt w:val="bullet"/>
      <w:lvlText w:val=""/>
      <w:lvlJc w:val="left"/>
      <w:pPr>
        <w:ind w:left="1080" w:hanging="360"/>
      </w:pPr>
      <w:rPr>
        <w:rFonts w:ascii="Wingdings" w:hAnsi="Wingdings" w:hint="default"/>
        <w:b/>
        <w:i w:val="0"/>
        <w:sz w:val="3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090D97"/>
    <w:multiLevelType w:val="hybridMultilevel"/>
    <w:tmpl w:val="FF761030"/>
    <w:lvl w:ilvl="0" w:tplc="0407000B">
      <w:start w:val="1"/>
      <w:numFmt w:val="bullet"/>
      <w:lvlText w:val=""/>
      <w:lvlJc w:val="left"/>
      <w:pPr>
        <w:ind w:left="720" w:hanging="360"/>
      </w:pPr>
      <w:rPr>
        <w:rFonts w:ascii="Wingdings" w:hAnsi="Wingdings" w:hint="default"/>
        <w:b/>
        <w:i w:val="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D2031"/>
    <w:multiLevelType w:val="hybridMultilevel"/>
    <w:tmpl w:val="3E9E875C"/>
    <w:lvl w:ilvl="0" w:tplc="0407000B">
      <w:start w:val="1"/>
      <w:numFmt w:val="bullet"/>
      <w:lvlText w:val=""/>
      <w:lvlJc w:val="left"/>
      <w:pPr>
        <w:ind w:left="927" w:hanging="360"/>
      </w:pPr>
      <w:rPr>
        <w:rFonts w:ascii="Wingdings" w:hAnsi="Wingdings" w:hint="default"/>
        <w:b/>
        <w:i w:val="0"/>
        <w:sz w:val="32"/>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84"/>
    <w:rsid w:val="00016D66"/>
    <w:rsid w:val="00023598"/>
    <w:rsid w:val="000243AB"/>
    <w:rsid w:val="000431F7"/>
    <w:rsid w:val="000649A9"/>
    <w:rsid w:val="00067AE5"/>
    <w:rsid w:val="00076E64"/>
    <w:rsid w:val="0008169C"/>
    <w:rsid w:val="0009149A"/>
    <w:rsid w:val="000C2F46"/>
    <w:rsid w:val="000D5FA7"/>
    <w:rsid w:val="0013008E"/>
    <w:rsid w:val="0013778F"/>
    <w:rsid w:val="00142863"/>
    <w:rsid w:val="001604F9"/>
    <w:rsid w:val="00161821"/>
    <w:rsid w:val="00180337"/>
    <w:rsid w:val="00181743"/>
    <w:rsid w:val="001B3F5C"/>
    <w:rsid w:val="001E620F"/>
    <w:rsid w:val="001F7610"/>
    <w:rsid w:val="00231B7C"/>
    <w:rsid w:val="002377DB"/>
    <w:rsid w:val="00255069"/>
    <w:rsid w:val="002705DB"/>
    <w:rsid w:val="0028217C"/>
    <w:rsid w:val="002828AC"/>
    <w:rsid w:val="00287699"/>
    <w:rsid w:val="002A4148"/>
    <w:rsid w:val="002C0D4A"/>
    <w:rsid w:val="002D59D7"/>
    <w:rsid w:val="002E1838"/>
    <w:rsid w:val="002F43CA"/>
    <w:rsid w:val="00301104"/>
    <w:rsid w:val="003257A8"/>
    <w:rsid w:val="0034223C"/>
    <w:rsid w:val="003456D7"/>
    <w:rsid w:val="00352604"/>
    <w:rsid w:val="00365B73"/>
    <w:rsid w:val="00375653"/>
    <w:rsid w:val="00397BF7"/>
    <w:rsid w:val="003A43FB"/>
    <w:rsid w:val="003B31F2"/>
    <w:rsid w:val="003C4E0D"/>
    <w:rsid w:val="00400B7F"/>
    <w:rsid w:val="004057D6"/>
    <w:rsid w:val="00414944"/>
    <w:rsid w:val="004412B6"/>
    <w:rsid w:val="00450BF8"/>
    <w:rsid w:val="00467E4E"/>
    <w:rsid w:val="00482CE0"/>
    <w:rsid w:val="004A277E"/>
    <w:rsid w:val="004A53FE"/>
    <w:rsid w:val="004A5DA1"/>
    <w:rsid w:val="004B3491"/>
    <w:rsid w:val="004B5984"/>
    <w:rsid w:val="004D2587"/>
    <w:rsid w:val="004D320C"/>
    <w:rsid w:val="004E1C64"/>
    <w:rsid w:val="004F79C0"/>
    <w:rsid w:val="0050160C"/>
    <w:rsid w:val="005029BC"/>
    <w:rsid w:val="00507AA4"/>
    <w:rsid w:val="00513AF3"/>
    <w:rsid w:val="00515AB1"/>
    <w:rsid w:val="0051716A"/>
    <w:rsid w:val="00527558"/>
    <w:rsid w:val="0055041A"/>
    <w:rsid w:val="00563E01"/>
    <w:rsid w:val="005A2AD0"/>
    <w:rsid w:val="005B0885"/>
    <w:rsid w:val="005B3E67"/>
    <w:rsid w:val="005E1249"/>
    <w:rsid w:val="005E2EBC"/>
    <w:rsid w:val="00606746"/>
    <w:rsid w:val="0060754D"/>
    <w:rsid w:val="00610825"/>
    <w:rsid w:val="00622D80"/>
    <w:rsid w:val="00643258"/>
    <w:rsid w:val="0064338E"/>
    <w:rsid w:val="00650E99"/>
    <w:rsid w:val="006702FD"/>
    <w:rsid w:val="006825D2"/>
    <w:rsid w:val="0069270C"/>
    <w:rsid w:val="00693818"/>
    <w:rsid w:val="006B6251"/>
    <w:rsid w:val="006E01BA"/>
    <w:rsid w:val="006E3596"/>
    <w:rsid w:val="006F34E5"/>
    <w:rsid w:val="0070721D"/>
    <w:rsid w:val="007615BB"/>
    <w:rsid w:val="00764355"/>
    <w:rsid w:val="00790AED"/>
    <w:rsid w:val="00791CE4"/>
    <w:rsid w:val="007940FB"/>
    <w:rsid w:val="007A1F96"/>
    <w:rsid w:val="007B54E6"/>
    <w:rsid w:val="007C3933"/>
    <w:rsid w:val="007D37BE"/>
    <w:rsid w:val="007E1D3E"/>
    <w:rsid w:val="007F78A9"/>
    <w:rsid w:val="00815A91"/>
    <w:rsid w:val="0081672D"/>
    <w:rsid w:val="0082364D"/>
    <w:rsid w:val="008336F8"/>
    <w:rsid w:val="00850A56"/>
    <w:rsid w:val="00854D61"/>
    <w:rsid w:val="00861F46"/>
    <w:rsid w:val="00862508"/>
    <w:rsid w:val="00891EE1"/>
    <w:rsid w:val="00896A7C"/>
    <w:rsid w:val="008D0706"/>
    <w:rsid w:val="008E1FBF"/>
    <w:rsid w:val="008F7C4E"/>
    <w:rsid w:val="008F7CF5"/>
    <w:rsid w:val="009030A9"/>
    <w:rsid w:val="00916F4F"/>
    <w:rsid w:val="0092594B"/>
    <w:rsid w:val="00972B89"/>
    <w:rsid w:val="0098738F"/>
    <w:rsid w:val="00997FF8"/>
    <w:rsid w:val="009A1BE6"/>
    <w:rsid w:val="009B42F1"/>
    <w:rsid w:val="009B4C3A"/>
    <w:rsid w:val="009E20A8"/>
    <w:rsid w:val="009E4CBE"/>
    <w:rsid w:val="009F76F3"/>
    <w:rsid w:val="00A065A0"/>
    <w:rsid w:val="00A16F30"/>
    <w:rsid w:val="00A220DD"/>
    <w:rsid w:val="00A37C6D"/>
    <w:rsid w:val="00A504C7"/>
    <w:rsid w:val="00A52DC7"/>
    <w:rsid w:val="00A93A47"/>
    <w:rsid w:val="00AB0B23"/>
    <w:rsid w:val="00AE4A1F"/>
    <w:rsid w:val="00AF6161"/>
    <w:rsid w:val="00B1353A"/>
    <w:rsid w:val="00B40A11"/>
    <w:rsid w:val="00B46781"/>
    <w:rsid w:val="00B6024B"/>
    <w:rsid w:val="00B61BA8"/>
    <w:rsid w:val="00B711C1"/>
    <w:rsid w:val="00B858F8"/>
    <w:rsid w:val="00B9704B"/>
    <w:rsid w:val="00BA571B"/>
    <w:rsid w:val="00BF682A"/>
    <w:rsid w:val="00C0660F"/>
    <w:rsid w:val="00C27847"/>
    <w:rsid w:val="00C83FB9"/>
    <w:rsid w:val="00C846B7"/>
    <w:rsid w:val="00C95243"/>
    <w:rsid w:val="00CB76BA"/>
    <w:rsid w:val="00CC4E98"/>
    <w:rsid w:val="00CE271A"/>
    <w:rsid w:val="00CE6383"/>
    <w:rsid w:val="00CF0A9D"/>
    <w:rsid w:val="00CF5B89"/>
    <w:rsid w:val="00D146D3"/>
    <w:rsid w:val="00D21526"/>
    <w:rsid w:val="00D322BB"/>
    <w:rsid w:val="00D5095B"/>
    <w:rsid w:val="00D6438E"/>
    <w:rsid w:val="00D96B20"/>
    <w:rsid w:val="00DC438E"/>
    <w:rsid w:val="00DC6622"/>
    <w:rsid w:val="00DC662C"/>
    <w:rsid w:val="00DE08C9"/>
    <w:rsid w:val="00DE202A"/>
    <w:rsid w:val="00E214AD"/>
    <w:rsid w:val="00E23F61"/>
    <w:rsid w:val="00E25D15"/>
    <w:rsid w:val="00E428C4"/>
    <w:rsid w:val="00E5359B"/>
    <w:rsid w:val="00E77989"/>
    <w:rsid w:val="00E81E1A"/>
    <w:rsid w:val="00ED3CFA"/>
    <w:rsid w:val="00EF4007"/>
    <w:rsid w:val="00F0380B"/>
    <w:rsid w:val="00F04B99"/>
    <w:rsid w:val="00F05CD0"/>
    <w:rsid w:val="00F35FE4"/>
    <w:rsid w:val="00F57917"/>
    <w:rsid w:val="00F73EA9"/>
    <w:rsid w:val="00F808BA"/>
    <w:rsid w:val="00F900F4"/>
    <w:rsid w:val="00F94265"/>
    <w:rsid w:val="00F95FA1"/>
    <w:rsid w:val="00F96A05"/>
    <w:rsid w:val="00FA2889"/>
    <w:rsid w:val="00FA4D18"/>
    <w:rsid w:val="00FA510B"/>
    <w:rsid w:val="00FC0D23"/>
    <w:rsid w:val="00FC47D7"/>
    <w:rsid w:val="00FE7C20"/>
    <w:rsid w:val="00FF2679"/>
    <w:rsid w:val="00FF2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70BB"/>
  <w15:chartTrackingRefBased/>
  <w15:docId w15:val="{348019FD-B2BA-3D41-B826-69B7D0A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984"/>
    <w:pPr>
      <w:overflowPunct w:val="0"/>
      <w:autoSpaceDE w:val="0"/>
      <w:autoSpaceDN w:val="0"/>
      <w:adjustRightInd w:val="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237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98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4B5984"/>
    <w:pPr>
      <w:ind w:left="720"/>
      <w:contextualSpacing/>
    </w:pPr>
  </w:style>
  <w:style w:type="character" w:customStyle="1" w:styleId="ListenabsatzZchn">
    <w:name w:val="Listenabsatz Zchn"/>
    <w:basedOn w:val="Absatz-Standardschriftart"/>
    <w:link w:val="Listenabsatz"/>
    <w:uiPriority w:val="34"/>
    <w:locked/>
    <w:rsid w:val="004B5984"/>
    <w:rPr>
      <w:rFonts w:ascii="Arial" w:eastAsia="Times New Roman" w:hAnsi="Arial" w:cs="Times New Roman"/>
      <w:szCs w:val="20"/>
      <w:lang w:eastAsia="de-DE"/>
    </w:rPr>
  </w:style>
  <w:style w:type="character" w:customStyle="1" w:styleId="footnotemark">
    <w:name w:val="footnote mark"/>
    <w:hidden/>
    <w:rsid w:val="00B858F8"/>
    <w:rPr>
      <w:rFonts w:ascii="Arial" w:eastAsia="Arial" w:hAnsi="Arial" w:cs="Arial"/>
      <w:color w:val="000000"/>
      <w:sz w:val="13"/>
      <w:vertAlign w:val="superscript"/>
    </w:rPr>
  </w:style>
  <w:style w:type="paragraph" w:styleId="Funotentext">
    <w:name w:val="footnote text"/>
    <w:basedOn w:val="Standard"/>
    <w:link w:val="FunotentextZchn"/>
    <w:uiPriority w:val="99"/>
    <w:semiHidden/>
    <w:unhideWhenUsed/>
    <w:rsid w:val="00B858F8"/>
    <w:rPr>
      <w:sz w:val="20"/>
    </w:rPr>
  </w:style>
  <w:style w:type="character" w:customStyle="1" w:styleId="FunotentextZchn">
    <w:name w:val="Fußnotentext Zchn"/>
    <w:basedOn w:val="Absatz-Standardschriftart"/>
    <w:link w:val="Funotentext"/>
    <w:uiPriority w:val="99"/>
    <w:semiHidden/>
    <w:rsid w:val="00B858F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B858F8"/>
    <w:rPr>
      <w:vertAlign w:val="superscript"/>
    </w:rPr>
  </w:style>
  <w:style w:type="paragraph" w:styleId="Fuzeile">
    <w:name w:val="footer"/>
    <w:basedOn w:val="Standard"/>
    <w:link w:val="FuzeileZchn"/>
    <w:semiHidden/>
    <w:rsid w:val="001E620F"/>
    <w:pPr>
      <w:tabs>
        <w:tab w:val="center" w:pos="4536"/>
        <w:tab w:val="right" w:pos="9072"/>
      </w:tabs>
    </w:pPr>
  </w:style>
  <w:style w:type="character" w:customStyle="1" w:styleId="FuzeileZchn">
    <w:name w:val="Fußzeile Zchn"/>
    <w:basedOn w:val="Absatz-Standardschriftart"/>
    <w:link w:val="Fuzeile"/>
    <w:semiHidden/>
    <w:rsid w:val="001E620F"/>
    <w:rPr>
      <w:rFonts w:ascii="Arial" w:eastAsia="Times New Roman" w:hAnsi="Arial" w:cs="Times New Roman"/>
      <w:szCs w:val="20"/>
      <w:lang w:eastAsia="de-DE"/>
    </w:rPr>
  </w:style>
  <w:style w:type="paragraph" w:styleId="Kopfzeile">
    <w:name w:val="header"/>
    <w:basedOn w:val="Standard"/>
    <w:link w:val="KopfzeileZchn"/>
    <w:uiPriority w:val="99"/>
    <w:unhideWhenUsed/>
    <w:rsid w:val="00CE271A"/>
    <w:pPr>
      <w:tabs>
        <w:tab w:val="center" w:pos="4536"/>
        <w:tab w:val="right" w:pos="9072"/>
      </w:tabs>
    </w:pPr>
  </w:style>
  <w:style w:type="character" w:customStyle="1" w:styleId="KopfzeileZchn">
    <w:name w:val="Kopfzeile Zchn"/>
    <w:basedOn w:val="Absatz-Standardschriftart"/>
    <w:link w:val="Kopfzeile"/>
    <w:uiPriority w:val="99"/>
    <w:rsid w:val="00CE271A"/>
    <w:rPr>
      <w:rFonts w:ascii="Arial" w:eastAsia="Times New Roman" w:hAnsi="Arial" w:cs="Times New Roman"/>
      <w:szCs w:val="20"/>
      <w:lang w:eastAsia="de-DE"/>
    </w:rPr>
  </w:style>
  <w:style w:type="character" w:styleId="Seitenzahl">
    <w:name w:val="page number"/>
    <w:basedOn w:val="Absatz-Standardschriftart"/>
    <w:uiPriority w:val="99"/>
    <w:semiHidden/>
    <w:unhideWhenUsed/>
    <w:rsid w:val="00CC4E98"/>
  </w:style>
  <w:style w:type="character" w:customStyle="1" w:styleId="berschrift1Zchn">
    <w:name w:val="Überschrift 1 Zchn"/>
    <w:basedOn w:val="Absatz-Standardschriftart"/>
    <w:link w:val="berschrift1"/>
    <w:uiPriority w:val="9"/>
    <w:rsid w:val="002377DB"/>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2377DB"/>
    <w:pPr>
      <w:overflowPunct/>
      <w:autoSpaceDE/>
      <w:autoSpaceDN/>
      <w:adjustRightInd/>
      <w:spacing w:line="259" w:lineRule="auto"/>
      <w:textAlignment w:val="auto"/>
      <w:outlineLvl w:val="9"/>
    </w:pPr>
  </w:style>
  <w:style w:type="paragraph" w:styleId="Verzeichnis1">
    <w:name w:val="toc 1"/>
    <w:basedOn w:val="Standard"/>
    <w:next w:val="Standard"/>
    <w:autoRedefine/>
    <w:uiPriority w:val="39"/>
    <w:unhideWhenUsed/>
    <w:rsid w:val="002377DB"/>
    <w:pPr>
      <w:spacing w:after="100"/>
    </w:pPr>
  </w:style>
  <w:style w:type="character" w:styleId="Hyperlink">
    <w:name w:val="Hyperlink"/>
    <w:basedOn w:val="Absatz-Standardschriftart"/>
    <w:uiPriority w:val="99"/>
    <w:unhideWhenUsed/>
    <w:rsid w:val="002377DB"/>
    <w:rPr>
      <w:color w:val="0563C1" w:themeColor="hyperlink"/>
      <w:u w:val="single"/>
    </w:rPr>
  </w:style>
  <w:style w:type="paragraph" w:customStyle="1" w:styleId="Default">
    <w:name w:val="Default"/>
    <w:rsid w:val="001604F9"/>
    <w:pPr>
      <w:autoSpaceDE w:val="0"/>
      <w:autoSpaceDN w:val="0"/>
      <w:adjustRightInd w:val="0"/>
    </w:pPr>
    <w:rPr>
      <w:rFonts w:ascii="EUAlbertina" w:eastAsia="Times New Roman" w:hAnsi="EUAlbertina" w:cs="EUAlbertina"/>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DAEA-F2E2-4819-8CC0-FD49D0EF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Schukowski, Aline (RPT)</cp:lastModifiedBy>
  <cp:revision>3</cp:revision>
  <cp:lastPrinted>2021-12-30T08:39:00Z</cp:lastPrinted>
  <dcterms:created xsi:type="dcterms:W3CDTF">2022-05-11T10:04:00Z</dcterms:created>
  <dcterms:modified xsi:type="dcterms:W3CDTF">2022-05-11T10:11:00Z</dcterms:modified>
</cp:coreProperties>
</file>